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ATA/1306/2020 vom 15. Dezember 2020</w:t>
      </w:r>
    </w:p>
    <w:p>
      <w:r>
        <w:t>GE Cour de justice, 2020-12-15, FR</w:t>
      </w:r>
    </w:p>
    <w:p>
      <w:r>
        <w:rPr>
          <w:b/>
        </w:rPr>
        <w:t xml:space="preserve">Quelle: </w:t>
      </w:r>
      <w:r>
        <w:t>https://mcp.opencaselaw.ch/entscheid/ge_gerichte_ATA_1306_2020</w:t>
      </w:r>
    </w:p>
    <w:p>
      <w:r>
        <w:t>FR: GE_GERICHTE ATA/1306/2020 du 15 décembre 2020</w:t>
      </w:r>
    </w:p>
    <w:p>
      <w:r>
        <w:t>IT: GE_GERICHTE ATA/1306/2020 del 15 dicembre 2020</w:t>
      </w:r>
    </w:p>
    <w:p>
      <w:pPr>
        <w:pStyle w:val="Heading2"/>
      </w:pPr>
      <w:r>
        <w:t>Regeste</w:t>
      </w:r>
    </w:p>
    <w:p>
      <w:r>
        <w:t>Résumé: Le recourant ne se trouve pas dans un cas d’extrême gravité justifiant l’octroi d’une autorisation de séjour. Il a notamment été condamné pénalement à de nombreuses reprises, n'a travaillé que de manière épisodique et n'a pas démontré une prise en charge financière constante de son fils. Le recourant pourra poursuivre ses relations avec son fils en cas de renvoi par la voie épistolaire, ou encore par téléphone ou par une correspondance électronique, y compris par vidéoconférence, ou encore à l’occasion de voyages que son fils, aujourd’hui adolescent, sera en mesure d’accomplir lui-même seul.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a contrario de la loi d'application de la loi fédérale sur les étrangers du 16 juin 1988 - LaLEtr - ; ATA/12/2020 du 7 janvier 2020 consid. 3). 3)</w:t>
      </w:r>
    </w:p>
    <w:p>
      <w:r>
        <w:t>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2C_737/2019 du 27 septembre 2019 consid. 4.1 ; 2C_841/2019 du 11 octobre 2019 consid. 3), les demandes déposées avant le 1er janvier 2019 sont régies par l'ancien droit.</w:t>
      </w:r>
    </w:p>
    <w:p>
      <w:r>
        <w:t>En l'espèce, la demande d'autorisation de séjour a été déposée avant le 1er janvier 2019, de sorte que c'est l'ancien droit qui s'applique.</w:t>
      </w:r>
    </w:p>
    <w:p>
      <w:r>
        <w:t>- 8/16 - A/3670/2019 4)</w:t>
      </w:r>
    </w:p>
    <w:p>
      <w:r>
        <w:t>Le litige porte sur la conformité au droit du refus de l’OCPM de délivrer au recourant une autorisation de séjour et du renvoi prononcé à son encontre. 5)</w:t>
      </w:r>
    </w:p>
    <w:p>
      <w:r>
        <w:t>Le recourant invoque tout d’abord un cas de rigueur.</w:t>
      </w:r>
    </w:p>
    <w:p>
      <w:r>
        <w:t>a.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la Côte d’Ivoire (ATA/27/2017 du 17 janvier 2017 consid. 4).</w:t>
      </w:r>
    </w:p>
    <w:p>
      <w:r>
        <w:t>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1er novembre 2019, ch. 5.6.10 [ci-après : Directives SEM]).</w:t>
      </w:r>
    </w:p>
    <w:p>
      <w:r>
        <w:t>Les dispositions dérogatoires des art. 30 LEI et 31 OASA présentent un caractère exceptionnel et les conditions pour la reconnaissance d'une telle situation doivent être appréciées de manière restrictive (ATA/353/2019 du 2 avril 2019 consid. 5c ; ATA/38/2019 du 15 janvier 2019 consid. 4c).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 124 II 110 consid. 2 ; ATA/38/2019 précité consid. 4c ; Directives SEM, ch. 5.6).</w:t>
      </w:r>
    </w:p>
    <w:p>
      <w:r>
        <w:t>b.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w:t>
      </w:r>
    </w:p>
    <w:p>
      <w:r>
        <w:t>- 9/16 - A/3670/2019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 ATA/181/2019 du 26 février 2019 consid. 13d).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ATA/353/2019 précité consid. 5d ; ATA/38/2019 précité consid. 4d).</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- 10/16 - A/3670/2019</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(ATA/353/2019 précité consid. 5d).</w:t>
      </w:r>
    </w:p>
    <w:p>
      <w:r>
        <w:t>La jurisprudence requiert, de manière générale, une très longue durée de séjour en Suisse, soit une période de sept à huit ans (ATA/684/2020 du 21 juillet 2020 consid. 7e et les références citées). En règle générale, la durée du séjour illégal en Suisse ne peut être prise en considération dans l'examen d'un cas de rigueur car, si tel était le cas, l'obstination à violer la législation en vigueur serait en quelque sorte récompensée (arrêts du TAF C-6051/2008 et C-6098/2008 du 9 juillet 2010 consid. 6.4 ; ATA/538/2020 du 29 mai 2020 consid. 8d).</w:t>
      </w:r>
    </w:p>
    <w:p>
      <w:r>
        <w:t>La jurisprudence et la doctrine s’accordent sur l’importance du caractère irréprochable du ressortissant étranger, de sorte qu’il ne doit exister aucun motif de droit des étrangers ou de droit pénal justifiant l’éloignement de la personne étrangère ou son maintien hors de Suisse (arrêt du TAF C-7330/2010 du 19 mars 2012 consid. 6.4.5). 6)</w:t>
      </w:r>
    </w:p>
    <w:p>
      <w:r>
        <w:t>En l’espèce, le recourant ne saurait, comme l’ont à bon droit relevé successivement l’OCPM et le TAPI, se prévaloir des années durant lesquelles il a séjourné sans droit en Suisse. Le temps employé par l’OCPM pour statuer ne saurait pas plus être pris en considération, étant rappelé que le 7 avril 2011 déjà, celui-ci informait le recourant de son intention de refuser de renouveler son autorisation et lui impartissait un délai pour exercer son droit d’être entendu.</w:t>
      </w:r>
    </w:p>
    <w:p>
      <w:r>
        <w:t>Le recourant n’a travaillé que de manière épisodique, et il a été entièrement à la charge de l’aide sociale pendant de longues périodes, la dernière fois depuis mars 2016. Il a produit devant le TAPI un contrat de travail conclu le 2 janvier 2020, mais n’a pas établi par la suite, ni d’ailleurs allégué devant la chambre administrative, qu’il travaillait effectivement et réalisait un revenu.</w:t>
      </w:r>
    </w:p>
    <w:p>
      <w:r>
        <w:t>Les trois quittances de versement au service d’avance et de recouvrement des pensions alimentaires (ci-après : SCARPA), de CHF 200.- chacune, des 17 octobre 2019 et 3 janvier 2020, n’établissent pas une prise en charge financière constante de son fils, né en mai 2005, et auquel il doit d’ailleurs une contribution mensuelle de CHF 500.- selon l’arrêt de la chambre civile de 2011, ce d’autant moins qu’il a été condamné deux fois déjà pour violation de son obligation d’entretien.</w:t>
      </w:r>
    </w:p>
    <w:p>
      <w:r>
        <w:t>Il a été condamné à deux reprises en tout cas à des peines égales ou supérieures à un an de privation de liberté, pour avoir commis des crimes (escroquerie, faux dans les titres, respectivement infraction aggravée à la LStup), étant précisé qu’en 2006 il a reconnu avoir été à la tête d’un réseau d’escrocs se</w:t>
      </w:r>
    </w:p>
    <w:p>
      <w:r>
        <w:t>- 11/16 - A/3670/2019 procurant des téléphones portables sous des identités usurpées, utilisés ensuite sans droit avec des frais de communication de près d’un million de francs, et qu’en 2013 il a fini par renoncer à appeler d’un jugement qui l’avait reconnu comme coauteur d’un trafic portant sur 410 gr. de cocaïne.</w:t>
      </w:r>
    </w:p>
    <w:p>
      <w:r>
        <w:t>Il a depuis lors été condamné à trois reprises, en juin 2015 pour appropriation illégitime et vol, en juillet 2017 pour violation d’une obligation d’entretien et encore récemment en août 2019 pour violation de son obligation d’entretien et escroquerie.</w:t>
      </w:r>
    </w:p>
    <w:p>
      <w:r>
        <w:t>Le recourant ne fait par ailleurs pas valoir de réussite professionnelle remarquable, ni de liens sociaux, associatifs ou communautaires particuliers, de sorte qu’il ne saurait en tout état, vu ses antécédents pénaux, se prévaloir d’une intégration exceptionnelle.</w:t>
      </w:r>
    </w:p>
    <w:p>
      <w:r>
        <w:t>Le recourant, qui a conservé en Côte d’Ivoire des attaches et s’y est rendu à de très nombreuses reprises ces dernières années, ne soutient pas que son retour dans le pays où il avait vécu jusqu’à l’âge de vingt-deux ans lui causerait des difficultés insurmontables.</w:t>
      </w:r>
    </w:p>
    <w:p>
      <w:r>
        <w:t>C’est ainsi à bon droit que l’OCPM et après lui le TAPI ont retenu qu’il ne se trouvait pas dans un cas d’extrême gravité justifiant l’octroi d’une autorisation de séjour. 7)</w:t>
      </w:r>
    </w:p>
    <w:p>
      <w:r>
        <w:t>Le recourant invoque ensuite une violation de son droit à la vie privée et familiale et du droit de son fils à la prise en compte de sa situation d’enfant. La mesure constituerait une atteinte disproportionnée.</w:t>
      </w:r>
    </w:p>
    <w:p>
      <w:r>
        <w:t>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w:t>
      </w:r>
    </w:p>
    <w:p>
      <w:r>
        <w:t>- 12/16 - A/3670/2019 2C_1153/2014 du 11 mai 2015 consid. 5.3 et 2C_251/2015 du 24 mars 2015 consid. 3).</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t>b. Il faut également tenir compte de l'intérêt de l'enfant, ainsi que l'exige l'art. 3 al. 1 de la Convention relative aux droits de l'enfant, conclue à New York le 20 novembre 1989, approuvée par l'Assemblée fédérale le 13 décembre 1996. Instrument de ratification déposé par la Suisse le 24 février 1997 (CDE - RS 0.107). L’art. 10 CDE prévoit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8)</w:t>
      </w:r>
    </w:p>
    <w:p>
      <w:r>
        <w:t>En l’espèce, il n’est pas contesté que le recourant exerce son droit de visite sans encombre ni difficultés et de manière régulière.</w:t>
      </w:r>
    </w:p>
    <w:p>
      <w:r>
        <w:t>- 13/16 - A/3670/2019</w:t>
      </w:r>
    </w:p>
    <w:p>
      <w:r>
        <w:t>Cela étant, et comme l’a justement relevé le TAPI, savoir s’il entretient avec son fils une relation affective particulièrement étroite au sens où l’entend la jurisprudence est une question qui peut demeurer indécise, vu ce qui suit.</w:t>
      </w:r>
    </w:p>
    <w:p>
      <w:r>
        <w:t>Son fils est né en ______2005, il est aujourd’hui âgé de quinze ans, et le recourant n’établit pas qu’il aurait avec constance contribué à son entretien durant toutes ces années. Il produit certes trois quittances récentes de versements, mais outre que les montants ne correspondent pas à la contribution due, les quittances n’établissent pas un entretien régulier et sérieux. La mère de l’enfant n’a elle-même jamais affirmé que le recourant contribuait à l’entretien de son fils. Une partie de la dette du recourant correspond par ailleurs aux avances du SCARPA, et le recourant a été condamné deux fois déjà, la dernière fois en 2019, pour violation de son obligation d’entretien.</w:t>
      </w:r>
    </w:p>
    <w:p>
      <w:r>
        <w:t>Le recourant échoue ainsi à établir qu’il contribue régulièrement et de manière significative à l’entretien de son fils, de sorte que, comme l’a relevé à bon droit le TAPI, la condition relative à l’existence d’une relation économique étroite fait défaut.</w:t>
      </w:r>
    </w:p>
    <w:p>
      <w:r>
        <w:t>S’agissant des relations avec son fils, le recourant pourra les poursuivre en cas de renvoi par la voie épistolaire, ou encore par téléphone ou par une correspondance électronique, y compris par vidéoconférence, ou encore à l’occasion de voyages que son fils, aujourd’hui adolescent, serait même en mesure d’accomplir lui-même.</w:t>
      </w:r>
    </w:p>
    <w:p>
      <w:r>
        <w:t>Ainsi, à supposer que le recourant puisse se plaindre d’une ingérence dans son droit à la vie privée et familiale tel que protégé par l’art. 8 § 2 CEDH, celle-ci apparaîtrait proportionnée eu égard aux motifs prépondérants d’intérêt public imposant l’éloignement du recourant et le refus d’une autorisation de séjour.</w:t>
      </w:r>
    </w:p>
    <w:p>
      <w:r>
        <w:t>Il apparaît ainsi que l’OCPM n’a commis ni excès ni abus de son pouvoir d’appréciation en refusant d’octroyer au recourant une autorisation de séjour et en ordonnant son renvoi de Suisse. 9) a. 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w:t>
      </w:r>
    </w:p>
    <w:p>
      <w:r>
        <w:t>b. En l'espèce, il ne ressort pas du dossier que l'exécution du renvoi serait impossible, illicite ou inexigible au regard de l'art. 83 LEI ; le recourant ne fait d’ailleurs pas valoir que tel serait le cas.</w:t>
      </w:r>
    </w:p>
    <w:p>
      <w:r>
        <w:t>Entièrement mal fondé, le recours sera rejeté.</w:t>
      </w:r>
    </w:p>
    <w:p>
      <w:r>
        <w:t>- 14/16 - A/3670/2019 10) Vu l'issue du litige, un émolument de CHF 400.- sera mis à la charge du recourant, qui succombe (art. 87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