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ATA/1306/2015 vom 8. Dezember 2015</w:t>
      </w:r>
    </w:p>
    <w:p>
      <w:r>
        <w:t>GE Cour de justice, 2015-12-08, FR</w:t>
      </w:r>
    </w:p>
    <w:p>
      <w:r>
        <w:rPr>
          <w:b/>
        </w:rPr>
        <w:t xml:space="preserve">Quelle: </w:t>
      </w:r>
      <w:r>
        <w:t>https://mcp.opencaselaw.ch/entscheid/ge_gerichte_ATA_1306_2015</w:t>
      </w:r>
    </w:p>
    <w:p>
      <w:r>
        <w:t>FR: GE_GERICHTE ATA/1306/2015 du 8 décembre 2015</w:t>
      </w:r>
    </w:p>
    <w:p>
      <w:r>
        <w:t>IT: GE_GERICHTE ATA/1306/2015 del 8 dicembre 2015</w:t>
      </w:r>
    </w:p>
    <w:p>
      <w:pPr>
        <w:pStyle w:val="Heading2"/>
      </w:pPr>
      <w:r>
        <w:t>Erwägungen</w:t>
      </w:r>
    </w:p>
    <w:p>
      <w:r>
        <w:rPr>
          <w:b/>
        </w:rPr>
        <w:t>E. 1</w:t>
      </w:r>
    </w:p>
    <w:p>
      <w:r>
        <w:t>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w:t>
      </w:r>
    </w:p>
    <w:p>
      <w:r>
        <w:rPr>
          <w:b/>
        </w:rPr>
        <w:t>E. 2</w:t>
      </w:r>
    </w:p>
    <w:p>
      <w:r>
        <w:t>La chambre administrative n’ayant pas la compétence de prononcer des sanctions disciplinaires à l’encontre de gardiens, ni de déterminer l’affectation de ces derniers, les conclusions du recourant portant sur ces questions seront en tout état de cause déclarées irrecevables.</w:t>
      </w:r>
    </w:p>
    <w:p>
      <w:r>
        <w:rPr>
          <w:b/>
        </w:rPr>
        <w:t>E. 3</w:t>
      </w:r>
    </w:p>
    <w:p>
      <w:r>
        <w:t>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w:t>
      </w:r>
    </w:p>
    <w:p>
      <w:r>
        <w:t>- 4/7 - A/2498/2015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rPr>
          <w:b/>
        </w:rPr>
        <w:t>E. 4</w:t>
      </w:r>
    </w:p>
    <w:p>
      <w:r>
        <w:t>Le statut des personnes incarcérées à la prison est régi par le RRIP (art. 1 al. 3 de la loi sur l’organisation et le personnel de la prison du 21 juin 1984 - LOPP - F 1 50).</w:t>
      </w:r>
    </w:p>
    <w:p>
      <w:r>
        <w:t>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À teneur de l’art. 47 al. 3 RRIP, le directeur est compétent pour prononcer, notamment, la privation de travail (let. e).</w:t>
      </w:r>
    </w:p>
    <w:p>
      <w:r>
        <w:rPr>
          <w:b/>
        </w:rPr>
        <w:t>E. 5</w:t>
      </w:r>
    </w:p>
    <w:p>
      <w:r>
        <w:t>Selon les directives internes relatives à la discipline dans les ateliers, les comportements troublant l'ordre ou la tranquillité peuvent conduire au prononcé d'une mesure de privation de travail ou à une suppression temporaire de travail.</w:t>
      </w:r>
    </w:p>
    <w:p>
      <w:r>
        <w:rPr>
          <w:b/>
        </w:rPr>
        <w:t>E. 6</w:t>
      </w:r>
    </w:p>
    <w:p>
      <w:r>
        <w:t>Selon la jurisprudence, la mesure de suppression du travail se justifie dans la mesure où les possibilités de travailler au sein de la prison doivent être réservées à des détenus capables de garder leur calme ce qui n’est pas le cas des détenus qui se bagarrent (ATA/35/2014 du 21 janvier 2014 ; ATA/307/2013 du 14 mai 2013 ; ATA/505/2012 du 31 juillet 2012 ; ATA/467/2012 du 30 juillet 2012) ou qui insultent le personnel (en l’espèce, à trois reprises ; ATA/276/2013 du 30 avril 2013). Une suppression de travail suite à une soustraction au travail a été jugée proportionnée (ATA/426/2012 du 3 juillet 2012). Une privation de travail en cuisine a été jugée proportionnée à la suite d’un refus d’obtempérer aux instructions du personnel de surveillance et menaces sur ce dernier (ATA/418/2012 du 3 juillet 2012).</w:t>
      </w:r>
    </w:p>
    <w:p>
      <w:r>
        <w:t>De jurisprudence constante, la chambre de céans accorde généralement une pleine valeur probante aux constatations figurant dans un rapport de police, établi</w:t>
      </w:r>
    </w:p>
    <w:p>
      <w:r>
        <w:t>- 5/7 - A/2498/2015 par des agents assermentés (ATA/99/2014 du 18 février 2014), sauf si des éléments permettent de s’en écarter. Dès lors que les agents de détention sont également des fonctionnaires assermentés (art. 7 LOPP), le même raisonnement peut être appliqué aux rapports établis par ces derniers.</w:t>
      </w:r>
    </w:p>
    <w:p>
      <w:r>
        <w:rPr>
          <w:b/>
        </w:rPr>
        <w:t>E. 7</w:t>
      </w:r>
    </w:p>
    <w:p>
      <w:r>
        <w:t>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ATA/735/2013 du 5 novembre 2013 consid. 11).</w:t>
      </w:r>
    </w:p>
    <w:p>
      <w:r>
        <w:rPr>
          <w:b/>
        </w:rPr>
        <w:t>E. 8</w:t>
      </w:r>
    </w:p>
    <w:p>
      <w:r>
        <w:t>En l’espèce, il est reproché au recourant, d’une part, d’avoir été discourtois avec le personnel de la prison, en ne le saluant pas et, d’autre part, de ne pas avoir respecté l’ordre qui lui était donné de prendre sa pause à l’endroit prévu à cet effet.</w:t>
      </w:r>
    </w:p>
    <w:p>
      <w:r>
        <w:t>La matérialité de ces faits n’est pas contestée par le recourant, lequel indique, d’une part, avoir repris le travail après un arrêt pour cause de maladie en ne saluant toujours pas les gardiens et, d’autre part, que l’un des gardiens lui avait dit à deux reprises que les tables étaient là pour manger, ce à quoi le recourant avait répondu « et alors ! ».</w:t>
      </w:r>
    </w:p>
    <w:p>
      <w:r>
        <w:t>Le fait que, selon le rapport, les deux autres détenus à qui l’ordre de manger à table avait été donné l’aient respecté, démontre que cette injonction n’était pas équivoque.</w:t>
      </w:r>
    </w:p>
    <w:p>
      <w:r>
        <w:t>De plus, la sanction litigieuse, certes sévère dans la mesure où le recourant, qui séjourne à Champ-Dollon depuis plusieurs années, n’apparaît pas avoir d’antécédents disciplinaires, apparaît néanmoins proportionnée au vu de l’intérêt public à éviter toute dérive dans le fonctionnement de cet établissement pénitentiaire, dont il est au surplus notoire que le taux d’occupation important implique une attention accrue.</w:t>
      </w:r>
    </w:p>
    <w:p>
      <w:r>
        <w:t>- 6/7 - A/2498/2015</w:t>
      </w:r>
    </w:p>
    <w:p>
      <w:r>
        <w:rPr>
          <w:b/>
        </w:rPr>
        <w:t>E. 9</w:t>
      </w:r>
    </w:p>
    <w:p>
      <w:r>
        <w:t>Au vu de ce qui précède, le recours sera rejeté, dans la mesure où il est recevable.</w:t>
      </w:r>
    </w:p>
    <w:p>
      <w:r>
        <w:t>Vu la nature du litige, aucun émolument ne sera perçu (art. 87 al. 1 LPA ; art. 12 al. 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