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ATA/1301/2017 vom 19. September 2017</w:t>
      </w:r>
    </w:p>
    <w:p>
      <w:r>
        <w:t>GE Cour de justice, 2017-09-19, FR</w:t>
      </w:r>
    </w:p>
    <w:p>
      <w:r>
        <w:rPr>
          <w:b/>
        </w:rPr>
        <w:t xml:space="preserve">Quelle: </w:t>
      </w:r>
      <w:r>
        <w:t>https://mcp.opencaselaw.ch/entscheid/ge_gerichte_ATA_1301_2017</w:t>
      </w:r>
    </w:p>
    <w:p>
      <w:r>
        <w:t>FR: GE_GERICHTE ATA/1301/2017 du 19 septembre 2017</w:t>
      </w:r>
    </w:p>
    <w:p>
      <w:r>
        <w:t>IT: GE_GERICHTE ATA/1301/2017 del 19 settembre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w:t>
      </w:r>
    </w:p>
    <w:p>
      <w:r>
        <w:t>En vertu de l’art. 11 al. 1 LNav, ces autorisations ne sont délivrées que contre paiement d’un émolument administratif et d’une redevance annuelle.</w:t>
      </w:r>
    </w:p>
    <w:p>
      <w:r>
        <w:t>L’art 16 al. 1 LNav prévoit que le défaut de paiement de la redevance annuelle entraîne de plein droit la caducité de l’autorisation.</w:t>
      </w:r>
    </w:p>
    <w:p>
      <w:r>
        <w:rPr>
          <w:b/>
        </w:rPr>
        <w:t>E. 3</w:t>
      </w:r>
    </w:p>
    <w:p>
      <w:r>
        <w:t>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w:t>
      </w:r>
    </w:p>
    <w:p>
      <w:r>
        <w:t>- 4/6 - A/2420/2017 (ATF 125 I 474 consid. 3 ; arrêt du Tribunal fédéral 1P. 269/2001 du 7 juin 2001 consid. 2c ; ATA/19/2016 du 12 janvier 2016 et les références citées).</w:t>
      </w:r>
    </w:p>
    <w:p>
      <w:r>
        <w:rPr>
          <w:b/>
        </w:rPr>
        <w:t>E. 4</w:t>
      </w:r>
    </w:p>
    <w:p>
      <w:r>
        <w:t>En l’espèce, le recourant a prouvé par pièce avoir, en même temps qu’il interjetait recours, réglé la somme qui lui était demandée. Rien dans le dossier n’indique qu’il n’aurait pas, jusqu’alors, toujours réglé les sommes demandées par la capitainerie dans le délai. Il a de même produit copie de sa carte de légitimation du département fédéral des affaires étrangères de haut fonctionnaire de l’OIM à Genève au bénéfice d’un statut diplomatique. Ce document accrédite les allégués du recourant quant à son activité professionnelle, laquelle est compatible avec de fréquentes absences du territoire genevois. Il produit par ailleurs copie d’un courriel de la capitainerie du 30 mai 2017 lui transmettant la facture d’amarrage 2016. En conséquence, le recourant a immédiatement réagi à la réception dudit courriel et de la facture et s’est acquitté du montant concerné, le 1er juin 2017, dans le délai de recours.</w:t>
      </w:r>
    </w:p>
    <w:p>
      <w:r>
        <w:t>Dès lors, si la décision litigieuse constitue une application stricte et rigide de la législation citée ci-dessus, elle ne respecte pas le principe de la proportionnalité, compte tenu de toutes les circonstances précitées (dans le même sens, pour des cas présentant des similitudes avec la présente cause, ATA/1015/2017 du 27 juin 2017 ; ATA/497/2017 du 2 mai 2017 ; ATA/922/2016 du 1er novembre 2016 ; ATA/923/2016 du 1er novembre 2016 ; ATA/924/2016 du 1er novembre 2016).</w:t>
      </w:r>
    </w:p>
    <w:p>
      <w:r>
        <w:t>L’attention de l’intéressé sera toutefois très fermement attirée sur le fait qu’il devra, à l’avenir, s’organiser afin d’honorer la taxe d’amarrage strictement dans le délai ressortant des factures qu’il reçoit, à défaut de quoi la place d’amarrage dont il bénéficie lui sera retirée.</w:t>
      </w:r>
    </w:p>
    <w:p>
      <w:r>
        <w:rPr>
          <w:b/>
        </w:rPr>
        <w:t>E. 5</w:t>
      </w:r>
    </w:p>
    <w:p>
      <w:r>
        <w:t>Au vu de ce qui précède, le recours sera admis et la décision litigieuse annulée.</w:t>
      </w:r>
    </w:p>
    <w:p>
      <w:r>
        <w:t>Aucune indemnité ne sera allouée au recourant, qui n’y a pas conclu et n’a pas exposé de frais, et aucun émolument de procédure ne sera perçu (art. 87 LPA).</w:t>
      </w:r>
    </w:p>
    <w:p>
      <w:r>
        <w:t>- 5/6 - A/2420/2017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