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ATA/1300/2021 vom 30. November 2021</w:t>
      </w:r>
    </w:p>
    <w:p>
      <w:r>
        <w:t>GE Cour de justice, 2021-11-30, FR</w:t>
      </w:r>
    </w:p>
    <w:p>
      <w:r>
        <w:rPr>
          <w:b/>
        </w:rPr>
        <w:t xml:space="preserve">Quelle: </w:t>
      </w:r>
      <w:r>
        <w:t>https://mcp.opencaselaw.ch/entscheid/ge_gerichte_ATA_1300_2021</w:t>
      </w:r>
    </w:p>
    <w:p>
      <w:r>
        <w:t>FR: GE_GERICHTE ATA/1300/2021 du 30 novembre 2021</w:t>
      </w:r>
    </w:p>
    <w:p>
      <w:r>
        <w:t>IT: GE_GERICHTE ATA/1300/2021 del 30 novembre 2021</w:t>
      </w:r>
    </w:p>
    <w:p>
      <w:pPr>
        <w:pStyle w:val="Heading2"/>
      </w:pPr>
      <w:r>
        <w:t>Erwägungen</w:t>
      </w:r>
    </w:p>
    <w:p>
      <w:r>
        <w:rPr>
          <w:b/>
        </w:rPr>
        <w:t>E. 12</w:t>
      </w:r>
    </w:p>
    <w:p>
      <w:r>
        <w:t>septembre 1985 - LPA - E 5 10 ; art. 135 loi sur la santé du 7 avril 2006 - LS - K 1 03). 2)</w:t>
      </w:r>
    </w:p>
    <w:p>
      <w:r>
        <w:t>Dans un premier grief d’ordre formel, le recourant fait valoir une violation de son droit d’être entendu, l’autorité intimée, et avant lui la commission, n’ayant pas donné suite à ses réquisitions de preuves, aux termes desquelles il persiste, sans donner d’explication à ce refus.</w:t>
      </w:r>
    </w:p>
    <w:p>
      <w:r>
        <w:t>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1C_204/2021 du 28 octobre 2021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Le droit d’être entendu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arrêt du Tribunal fédéral 2C_420/2021 précité consid. 4.1).</w:t>
      </w:r>
    </w:p>
    <w:p>
      <w:r>
        <w:t>- 16/30 - A/2736/2021 3) a. En l’espèce, il ressort de ses écritures devant la commission que le recourant a sollicité l’audition de plusieurs témoins, à savoir la secrétaire qu’il employait, les membres du personnel de la clinique présents lors de l’hystéroscopie opératoire du 20 mai 2015 et le médecin l’ayant assisté lors de l’intervention du 27 mai 2015. La commission n’a pas donné suite à cette demande.</w:t>
      </w:r>
    </w:p>
    <w:p>
      <w:r>
        <w:t>Le recourant soutient que la commission n’aurait pas statué sur sa requête, pas plus que le département, a fortiori sans fournir de motivation à son refus de procéder aux auditions sollicitées. La lecture du préavis de la commission et de la décision du département montre toutefois que tel n’est pas le cas. En effet, il en ressort l’indication selon laquelle le fait que le personnel et la patiente aient pu voir une masse dans l’utérus de celle-ci, telle que décrite par le recourant, n’était pas suffisamment probant, au vu des autres éléments du dossier. L’autorité intimée, et avant elle la commission, s’est dès lors prononcée, même sommairement, sur la demande du recourant et, procédant à une appréciation anticipée des preuves, a considéré qu’elle n’était pas en mesure d’apporter d’élément supplémentaire à ceux figurant déjà au dossier. À cela s’ajoute que le recourant a été en mesure de recourir contre la décision entreprise en toute connaissance de cause, étant précisé qu’une éventuelle violation du droit d’être entendu du recourant peut être réparée devant la chambre de céans, qui dispose d’un pouvoir d’examen complet en fait et en droit (art. 61 al. 1 LPA ; arrêt du Tribunal fédéral 8C_257/2019 du 12 mai 2020 consid. 5.2). Le grief du recourant doit dès lors être écarté.</w:t>
      </w:r>
    </w:p>
    <w:p>
      <w:r>
        <w:t>b. Devant la chambre de céans, le recourant persiste dans ses réquisitions de preuve et sollicite au surplus l’audition de l’anesthésiste présente lors des deux interventions de la patiente, ainsi que sa comparution personnelle.</w:t>
      </w:r>
    </w:p>
    <w:p>
      <w:r>
        <w:t>Outre le fait que le recourant ne dispose d’aucun droit à être entendu oralement, il a pu s’exprimer par écrit à plusieurs reprises dans le cadre de la procédure de recours, étant précisé que la commission, composée de spécialistes, a tenu une audience au cours de laquelle il a déjà été en mesure de se déterminer, au demeurant de manière contradictoire, en présence de la patiente, et faire valoir, à plusieurs reprises, son point de vue par écrit.</w:t>
      </w:r>
    </w:p>
    <w:p>
      <w:r>
        <w:t>Il ne se justifie pas non plus de procéder aux mesures d’instruction sollicitées. En effet, il ressort déjà des éléments du dossier, en particulier le rapport d’analyse du 1er juin 2015 ou encore l’audition de la patiente, que l’utérus de celle-ci ne comportait pas de masse compatible avec un myome, si bien que les auditions sollicitées ne sont pas en mesure d’apporter d’élément supplémentaire. Qu’une masse ait ou non été présente dans ledit utérus ou que sa taille ait évolué entre les interventions ne modifie en rien le fait que le recourant, à l’exclusion des témoins dont il sollicite l’audition, était le seul habilité à poser un diagnostic en tant que gynécologue traitant de la patiente, la commission d’une erreur dans celui-ci lui étant reprochée. Le recourant a d’ailleurs expliqué dans ses</w:t>
      </w:r>
    </w:p>
    <w:p>
      <w:r>
        <w:t>- 17/30 - A/2736/2021 observations du 25 septembre 2017 devant la commission que la présence d’une masse pouvait être due à différentes causes et que d’autres pathologies qu’un myome pouvaient être à son origine. L’on ne voit pas non plus ce que l’audition de l’anesthésiste ayant assisté aux deux opérations pourrait apporter, étant donné que son rôle n’était pas de procéder aux interventions en tant que telles, contrairement à celui du recourant.</w:t>
      </w:r>
    </w:p>
    <w:p>
      <w:r>
        <w:t>Il s’ensuit que les réquisitions de preuves sollicitées par le recourant seront rejetées, le dossier contenant suffisamment d’éléments pour trancher le litige sans qu’il ne faille recourir aux auditions demandées. 4)</w:t>
      </w:r>
    </w:p>
    <w:p>
      <w:r>
        <w:t>Il sied d’examiner d’office la question de la prescription de la poursuite disciplinaire.</w:t>
      </w:r>
    </w:p>
    <w:p>
      <w:r>
        <w:t>a. Selon l’art. 46 de la loi fédérale sur les professions médicales universitaires du 23 juin 2006 (LPMéd - RS 811.11), applicable par renvoi de l’art. 133A LS,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w:t>
      </w:r>
    </w:p>
    <w:p>
      <w:r>
        <w:t>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(ATA/460/2020 du 7 mai 2020 consid. 2b et les références citées).</w:t>
      </w:r>
    </w:p>
    <w:p>
      <w:r>
        <w:t>b. En l’espèce, à la suite de l’intervention du 27 mai 2015, la patiente a saisi la commission d’une dénonciation le 22 juin 2017 à l’encontre du recourant. Ce dernier a été informé de l’ouverture d’une procédure disciplinaire à son encontre le 6 septembre 2017 et a produit des observations les 16 et 25 septembre 2017. Le</w:t>
      </w:r>
    </w:p>
    <w:p>
      <w:r>
        <w:rPr>
          <w:b/>
        </w:rPr>
        <w:t>E. 13</w:t>
      </w:r>
    </w:p>
    <w:p>
      <w:r>
        <w:t>juin 2019, la commission a tenu une audience de comparution personnelle des parties, au cours de laquelle elle a entendu le recourant et la patiente, lesquels se sont vu accorder, le 23 décembre 2019, un délai pour se déterminer. Le recourant</w:t>
      </w:r>
    </w:p>
    <w:p>
      <w:r>
        <w:t>- 18/30 - A/2736/2021 a ainsi produit ses observations les 13 février et 17 juillet 2020 et la patiente les 29 juin et 28 août 2020, à la suite de quoi la commission a rendu son préavis au département le 3 mai 2021, lequel a rendu la décision litigieuse par arrêté du 21 juin 2021, que le recourant a contesté par acte du 23 août 2021. Ces différents actes d’instruction ont ainsi interrompu à chaque fois le délai de prescription et fait repartir un nouveau délai de deux ans, étant précisé que la prescription absolue de dix ans n’est pas encore atteinte.</w:t>
      </w:r>
    </w:p>
    <w:p>
      <w:r>
        <w:t>Au vu de ce qui précède, la poursuite disciplinaire n’est pas prescrite. 5)</w:t>
      </w:r>
    </w:p>
    <w:p>
      <w:r>
        <w:t>Le litige porte sur la conformité au droit de la sanction disciplinaire, sous la forme d’un retrait du droit de pratiquer la médecine pour une durée de trois mois, infligée au recourant, que ce dernier conteste au motif que l’autorité intimée aurait constaté de manière inexacte et incomplète les faits pertinents et rendu une décision contraire au droit. 6)</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w:t>
      </w:r>
    </w:p>
    <w:p>
      <w:r>
        <w:t>Il n’en résulte toutefois pas que l’autorité est libre d’agir comme bon lui semble (ATA/397/2021 du 13 avril 2021 consid. 4 et les références citées).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 7) a. Le 1er septembre 2007 est entrée en vigueur la LPMéd. Certains des articles de cette loi ont fait l’objet d’une modification entrée en vigueur le 1er janvier 2018, puis le 1er février 2020. Toutefois, ces modifications n’ont pas d’effet sur l’objet du présent litige, si bien que c’est la LPMéd dans sa teneur la plus récente qui sera exposée ci-dessous.</w:t>
      </w:r>
    </w:p>
    <w:p>
      <w:r>
        <w:t>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w:t>
      </w:r>
    </w:p>
    <w:p>
      <w:r>
        <w:t>- 19/30 - A/2736/2021 professionnelle et respecter les limites des compétences qu’elles ont acquises dans le cadre de leur formation (let. a) et garantir les droits du patient (let. c).</w:t>
      </w:r>
    </w:p>
    <w:p>
      <w:r>
        <w:t>b.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(ATA/941/2021 du 14 septembre 2021 consid.7d et les références citées).</w:t>
      </w:r>
    </w:p>
    <w:p>
      <w:r>
        <w:t>c. Au niveau cantonal, les droits et devoirs des professionnels de la santé sont traités dans la LS, qui s’applique à tous les professionnels de la santé (art. 71A et 80 LS), notamment les personnes exerçant la profession médicale universitaire de médecin (art. 1 al. 1 let. a du règlement sur les professions de la santé du 22 août 2006 - RPS - K 3 02.01). Une modification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(ATA/941/2021 précité consid.7c).</w:t>
      </w:r>
    </w:p>
    <w:p>
      <w:r>
        <w:t>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w:t>
      </w:r>
    </w:p>
    <w:p>
      <w:r>
        <w:t>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w:t>
      </w:r>
    </w:p>
    <w:p>
      <w:r>
        <w:t>- 20/30 - A/2736/2021 8) a. Les principaux droits du patient sont énumérés aux art. 42 ss LS. Il s’agit notamment du droit aux soins (art. 42 LS), du libre choix du professionnel de la santé (art. 43 LS), du libre choix de l’institution de santé (art. 44 LS), du droit d’être informé (art. 45 LS) et du choix libre et éclairé (art. 46 LS).</w:t>
      </w:r>
    </w:p>
    <w:p>
      <w:r>
        <w:t>b. Le patient a droit aux soins qu’exige son état de santé à toutes les étapes de la vie, dans le respect de sa dignité et, dans la mesure du possible, dans son cadre de vie habituel (art. 42 LS). Ce droit ne saurait être compris comme conférant un droit absolument illimité à recevoir des soins mais comme le droit pour une personne, indépendamment de sa condition économique et sociale, d’accéder équitablement aux soins qu’elle demande et de recevoir ceux qui lui sont objectivement nécessaires, pour autant qu’ils soient effectivement disponibles (MGC 2003-2004/XI A 5845 ; ATA/941/2021 précité consid. 6).</w:t>
      </w:r>
    </w:p>
    <w:p>
      <w:r>
        <w:t>Selon la jurisprudence de la chambre de céans, le droit de se faire soigner conformément aux règles de l’art médical constitue un droit du patient. L’allégation d’une violation des règles de l’art équivaut à celle de la violation des droits du patient (ATA/355/2021 du 23 mars 2021 consid. 5b). Les droits du patient sont en outre garantis par l’art. 40 LPMéd, qui consacre de manière uniforme et exhaustive les devoirs professionnels des personnes exerçant une profession médicale universitaire à titre indépendant (ATA/941/2021 précité consid. 6).</w:t>
      </w:r>
    </w:p>
    <w:p>
      <w:r>
        <w:t>Les règles de l’art médical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120 Ib 411 consid. 4a ; arrêt du Tribunal fédéral 4P.271/2002 du 27 mars 2003 consid.3).</w:t>
      </w:r>
    </w:p>
    <w:p>
      <w:r>
        <w:t>c.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w:t>
      </w:r>
    </w:p>
    <w:p>
      <w:r>
        <w:t>Le devoir d’information conditionne l’exercice par le patient de son droit à l’autodétermination en matière médicale rattaché à la liberté personnelle garantie par l’art. 10 Cst. notamment. Il permet au patient de donner, en connaissance de cause, son accord à une atteinte à son intégrité corporelle. Corrélativement, le</w:t>
      </w:r>
    </w:p>
    <w:p>
      <w:r>
        <w:t>- 21/30 - A/2736/2021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w:t>
      </w:r>
    </w:p>
    <w:p>
      <w:r>
        <w:t>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(ATA/916/2018 précité consid. 4d et les références citées).</w:t>
      </w:r>
    </w:p>
    <w:p>
      <w:r>
        <w:t>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(ATA/473/2018 du 15 mai 2018 consid. 6c et les références mentionnées). 9)</w:t>
      </w:r>
    </w:p>
    <w:p>
      <w:r>
        <w:t>La relation entre le médecin et son patient est régie par les règles relatives au contrat de mandat, les devoirs professionnels du médecin qui découlent du droit privé se recoupant en grande partie avec ceux de l’art. 40 LPMéd (ATA/941/2021 précité consid. 7e et les références citées).</w:t>
      </w:r>
    </w:p>
    <w:p>
      <w:r>
        <w:t>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(ATA/941/2021 précité consid. 7e).</w:t>
      </w:r>
    </w:p>
    <w:p>
      <w:r>
        <w:t>Le médecin doit observer la diligence requise.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 elles dépendent des</w:t>
      </w:r>
    </w:p>
    <w:p>
      <w:r>
        <w:t>- 22/30 - A/2736/2021 particularités de chaque cas, telles que la nature de l’intervention ou du traitement et les risques qu’il comporte, la marge d’appréciation, le temps et les moyens disponibles, la formation et les capacités du médecin. La violation, par celui-ci, de son devoir de diligence – communément, mais improprement, appelée « faute professionnelle » – correspond à la notion d’illicéité propre à la responsabilité délictuelle (ATF 133 III 121 consid. 3.1 ; arrêts du Tribunal fédéral 4A_487/2016 du 1er février 2017 consid. 2.3)</w:t>
      </w:r>
    </w:p>
    <w:p>
      <w:r>
        <w:t>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 10) 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 Compte tenu du fait qu’elle est composée de spécialistes, mieux à même d’apprécier les questions d’ordre technique, la chambre de céans s’impose une certaine retenue (ATA/940/2021 du 14 septembre 2021 consid. 13 et les références citées). 11) a. En l’espèce, le recourant, titulaire d’un titre postgrade fédéral en gynécologie et obstétrique, a pratiqué sur la patiente, en date du 27 mai 2015, un acte chirurgical consistant en une hystérectomie subtotale, à savoir l’ablation de l’utérus sans le col et les ovaires. À la suite de cette intervention, la patiente a saisi la commission d’une plainte, reprochant au recourant une erreur de diagnostic, une opération non indiquée, une absence d’information au sujet de l’hystérectomie, de nombreuses consultations ainsi que l’absence de remise, par l’intéressé, de son dossier médical. Si ces deux derniers éléments n’ont pas été retenus à l’encontre du recourant – et sont dès lors exorbitant au litige –, il n’en va pas de même des trois premiers, l’instruction de la plainte ayant au surplus mis en lumière une tenue peu rigoureuse du dossier médical de la patiente.</w:t>
      </w:r>
    </w:p>
    <w:p>
      <w:r>
        <w:t>En lien avec les reproches retenus à son encontre, le recourant conteste avoir violé ses devoirs de diligence et d’information ainsi que ses obligations relatives à la tenue du dossier médical de la patiente.</w:t>
      </w:r>
    </w:p>
    <w:p>
      <w:r>
        <w:t>b. Il ressort du dossier qu’à la suite des premières consultations de la patiente, le recourant a diagnostiqué chez cette dernière, en 2010, une dysplasie cervicale, ce qui a conduit, en 2011, à l’ablation d’une partie de son col utérin, et a nécessité un suivi régulier. Lors de la consultation du 20 avril 2015, le recourant a effectué une échographie et constaté la présence d’une masse dans l’utérus de la patiente, d’un diamètre estimé à 3 cm, ce qui l’a conduit, le 28 avril 2015, à procéder à une</w:t>
      </w:r>
    </w:p>
    <w:p>
      <w:r>
        <w:t>- 23/30 - A/2736/2021 hystéroscopie diagnostique et à qualifier ladite masse de « myome intra-utérin », après avoir exclu une éventuelle grossesse en cours au moyen d’une prise de sang. Le 20 mai 2015, le recourant a ensuite procédé à une hystéroscopie en vue de l’ablation de la masse par voie vaginale, ce qu’il n’a pas été en mesure de réaliser, si bien que, le 27 mai 2015, il a procédé à une hystérectomie par laparoscopie, ôtant le corps utérin de la patiente, qu’il a envoyé « en morceaux » au laboratoire d’analyse, dont le rapport du 1er juin 2015 fait état de tissus utérins standards, sans relever la présence d’une masse.</w:t>
      </w:r>
    </w:p>
    <w:p>
      <w:r>
        <w:t>c. Comme le retient à juste titre la décision litigieuse, une masse de la taille indiquée par le recourant, d’un diamètre de 3 à 5 cm, aurait dû être retrouvée dans le corps utérin lors de son analyse, même s’il est parvenu en multiples fragments. Tel n’a pas été le cas, puisque ni l’examen macroscopique ni l’examen microscopique n’ont été en mesure de la retrouver. Le recourant soutient que, malgré l’absence au dossier des images des échographies effectuées, plusieurs personnes ont pu constater l’existence et la taille de la masse. S’il ressort certes des observations de la patiente devant la commission qu’elle a vu, lors de la consultation du 20 avril 2015, une « petite tache » sur les images de l’échographie réalisée à cette occasion, elle n’en a pas moins précisé qu’elle n’était pas apparue plus grande qu’un début de grossesse, raison pour laquelle le recourant a alors effectué une prise de sang pour l’exclure, ce que ce dernier a également confirmé. Le recourant n’a toutefois pas effectué d’investigations supplémentaires en lien avec ladite masse et le fait qu’il n’ait pas pu procéder à son ablation lors de l’intervention du 20 mai 2015 en raison de sa taille, comme il l’indique, ne l’empêchait pas de faire une biopsie, avant qu’elle n’atteigne précisément cette taille, comme l’a, à juste titre, retenu la commission. À cela s’ajoute que, même s’il a effectué plusieurs échographies, celles-ci n’ont pas été portées au dossier de la patiente, pas plus que, le cas échéant, le descriptif desdites échographies dans ses notes, qui ne contiennent rien s’agissant des interventions des 20 et 27 mai 2015, comme le relève à juste titre la décision litigieuse.</w:t>
      </w:r>
    </w:p>
    <w:p>
      <w:r>
        <w:t>La seule présence d’une masse ne pouvait toutefois conduire le recourant à considérer qu’il s’agissait d’un myome intra-utérin, notamment au regard de l’anamnèse de la patiente. Même si les notes du recourant indiquent des douleurs hypogastriques lors de la consultation du 18 février puis lors de celle du 20 avril 2015, la patiente n’en a pas moins contesté leur réalité, à tout le moins leur intensité, étant précisé qu’il ne ressort pas du dossier médical que l’intéressé lui aurait prescrit un traitement médicamenteux en lien avec de telles douleurs, ce qui aurait dû être le cas si elles avaient été de l’intensité alléguée. Comme l’a relevé la commission, la patiente ne présentait pas de troubles menstruels sous la forme d’hyperménorrhée et de ménorragies susceptibles de causer une anémie qui pouvaient entrer en ligne de compte pour poser le diagnostic, mais, au contraire, d’euménorrhée et d’absence de dysménorrhée, comme elle l’a d’ailleurs confirmé lors de son audition par la commission, précisant que ses menstruations étaient</w:t>
      </w:r>
    </w:p>
    <w:p>
      <w:r>
        <w:t>- 24/30 - A/2736/2021 peu abondantes. Les notes des consultations des 12 janvier et 19 avril 2012 indiquent d’ailleurs une « aménorrhée » et une « hypoménorrhée », et non comme l’a soutenu sans fondement le recourant dans ses observations devant la commission, une « dysménorrhée » et une « hyperménorrhée ». Ces éléments devaient ainsi conduire le recourant à envisager d’autres pistes que le seul diagnostic de myome intra-utérin, conformément aux constats de la commission.</w:t>
      </w:r>
    </w:p>
    <w:p>
      <w:r>
        <w:t>Le recourant allègue avoir effectué un diagnostic différentiel, puisqu’il avait d’abord pensé à une grossesse, qu’il a pu exclure à la suite de la prise de sang du 20 avril 2015. Il ne ressort toutefois pas du dossier médical de la patiente qu’il aurait envisagé d’autres pathologies après avoir obtenu le résultat de ladite prise de sang, s’étant limité à évoquer, a posteriori, dans ses observations devant la commission, une endosalpingiose le 16 septembre 2017 et une adénomyose utérine le 25 septembre 2017. Dans ce cadre, le recourant ne saurait être suivi lorsqu’il allègue avoir voulu traiter l’adénomyose par la pose d’un stérilet hormonal, ce qui ne ressort pas de ses notes, lesquelles indiquent, comme motif à ladite pose, la perte de l’anneau vaginal de la patiente, cette dernière ayant au demeurant indiqué que son insertion était prévue pour lui faire perdre du poids. En outre, le fait que le rapport d’analyse du 1er juin 2015 indique que l’aspect du myomètre était « compatible avec une adénomyose » ne permet pas non plus de supplanter l’absence de diagnostic de cette pathologie avant l’intervention, pas plus que le rapport opératoire du 27 mai 2015, qui, bien que mentionnant une adénomyose, a été établi après cette opération. Par ailleurs, le recourant ne peut pas non plus justifier, a posteriori, le diagnostic en alléguant que les douleurs, contestées par la patiente, auraient disparu, ce qui ne signifie pas pour autant que le diagnostic était correct, au vu du résultat obtenu, à savoir l’ablation de l’utérus. Il résulte ainsi de ces éléments que le recourant n’a effectué aucun diagnostic différentiel, dont aucune trace ne se trouve au dossier, s’étant limité à qualifier la masse de « myome intra-utérin », alors même qu’il a, par la suite, indiqué que les autres pathologies susmentionnées pouvaient présenter les mêmes caractéristiques, après avoir fait des recherches dans la littérature scientifique.</w:t>
      </w:r>
    </w:p>
    <w:p>
      <w:r>
        <w:t>Au vu de ces éléments, c’est à juste titre que la commission, composée de spécialistes, puis le département ont retenu que le recourant n’avait pas fait preuve d’une diligence suffisante en omettant de mettre en œuvre tous les moyens à sa disposition lui permettant de poser un diagnostic de manière consciencieuse et dans le respect des règles de l’art.</w:t>
      </w:r>
    </w:p>
    <w:p>
      <w:r>
        <w:t>d. Le recourant soutient qu’en toute hypothèse l’hystérectomie était l’intervention la plus indiquée dans le cas de la patiente, indépendamment de sa pathologie. Rien ne permet toutefois d’affirmer que tel était le cas, en l’absence de tout diagnostic différentiel effectué et des traitements moins incisifs qui auraient pu être envisagés pour d’autres pathologies – et d’ailleurs même pour celle</w:t>
      </w:r>
    </w:p>
    <w:p>
      <w:r>
        <w:t>- 25/30 - A/2736/2021 diagnostiquée (à tort) –, étant précisé que, comme précédemment relevé, le diagnostic de « myome intra-utérin » posé par le recourant s’est révélé erroné.</w:t>
      </w:r>
    </w:p>
    <w:p>
      <w:r>
        <w:t>Le recourant ne peut pas non plus être suivi lorsqu’il allègue que rien ne commandait d’ôter également le col de l’utérus de la patiente, au regard de son anamnèse. Celle-ci a ainsi révélé une infection au HPV, responsable du développement du cancer du col de l’utérus, et un SIL de haut grade, décrivant des changements anormaux subis par les cellules du col de l’utérus, comme l’a relevé la commission, pathologies ayant conduit à une conisation en 2011 ainsi que les résultats du prélèvement effectué dans son col de l’utérus après l’hystérectomie, qui n’ont certes pas révélé de dysplasie cervicale, mais néanmoins un SIL de bas grade. Dans ces circonstances, la commission, composée de spécialiste, pouvait considérer que les antécédents de la patiente devaient conduire le recourant, au vu de son appréciation de la situation, à procéder à l’ablation du col de l’utérus en même temps que celle de l’utérus et qu’il ne l’avait pas fait par commodité, étant donné que l’intervention effectuée était plus simple et plus rapide.</w:t>
      </w:r>
    </w:p>
    <w:p>
      <w:r>
        <w:t>Par ailleurs, en soutenant que, dans ce cadre, la décision litigieuse ne mentionne pas la base légale permettant de lui imputer le comportement qui lui est reproché, le recourant perd de vue qu’elle contient, dans la partie en droit, l’ensemble des dispositions applicables en matière de devoir de diligence des professionnels de la santé, dont il fait partie en sa qualité de médecin.</w:t>
      </w:r>
    </w:p>
    <w:p>
      <w:r>
        <w:t>e. Le recourant conteste avoir contrevenu à son devoir d’information, ayant fourni à la patiente toutes les informations nécessaires avant l’hystérectomie du 27 mai 2015.</w:t>
      </w:r>
    </w:p>
    <w:p>
      <w:r>
        <w:t>S’il ressort, certes, du dossier que la patiente a signé, le 18 mai 2015, un protocole d’information, celui-ci ne concerne pas l’hystérectomie, mais l’hystéroscopie, pour laquelle sont notamment énumérés les risques et les complications. Dans ce cadre, le recourant ne peut rien tirer de la mention, dans ledit protocole, de l’ablation de la matrice, qui est indiqué comme un risque et/ou une complication de l’hystéroscopie, alors que l’hystérectomie constitue une intervention distincte. Le fait que cette dernière ait été effectuée dans un deuxième temps le démontre d’ailleurs, étant précisé que l’hystéroscopie n’a fait l’objet d’aucune complication, comme l’indique le rapport opératoire du 20 mai 2015.</w:t>
      </w:r>
    </w:p>
    <w:p>
      <w:r>
        <w:t>Le recourant prétend avoir expliqué en détail l’intervention à la patiente. Les notes de l’intéressé n’en font toutefois pas mention, pas plus d’ailleurs que des deux interventions de mai 2015 ni des événements s’étant produits entre celles-ci. S’il ressort certes du dossier que le recourant a parlé avec la patiente de l’hystérectomie qu’il envisageait de pratiquer, cet échange a toutefois eu lieu après l’intervention du 20 mai 2015, dans un contexte particulier, alors que la patiente était hospitalisée, celle-ci n’ayant disposé que de quelques jours de</w:t>
      </w:r>
    </w:p>
    <w:p>
      <w:r>
        <w:t>- 26/30 - A/2736/2021 réflexion. Contrairement à ce qu’affirme le recourant, au vu de cette situation, la patiente n’était pas en mesure de solliciter un deuxième avis ni d’attendre, puisqu’elle a expliqué avoir eu l’impression de ne pas avoir le choix. À cela s’ajoute que rien ne permet d’affirmer que la patiente aurait correctement compris les enjeux de l’intervention, qu’il appartenait pourtant au recourant d’expliquer, et qui consistait en l’ablation de l’utérus et pas seulement de la masse par une autre méthode, à savoir par laparoscopie, que celle pratiquée lors de l’hystéroscopie.</w:t>
      </w:r>
    </w:p>
    <w:p>
      <w:r>
        <w:t>Que la patiente ait ou non fait état à son médecin de son souhait de grossesse n’apparaît dans ce cadre pas déterminant, étant précisé qu’il n’appartenait pas au recourant de considérer d’emblée toute grossesse impossible au regard de ses antécédents gynécologiques. Ceux-ci ne lui permettaient ainsi pas de se dispenser de fournir les informations nécessaires à la prise de la décision en pleine connaissance de cause s’agissant d’une patiente alors en âge de procréer.</w:t>
      </w:r>
    </w:p>
    <w:p>
      <w:r>
        <w:t>Au vu de ces éléments, l’autorité intimée pouvait considérer que le recourant n’avait pas fourni à la patiente une information étendue, claire et précise au sujet de l’intervention qu’il entendait pratiquer et qu’en toute hypothèse son consentement était vicié au regard de la pression du temps et du contexte.</w:t>
      </w:r>
    </w:p>
    <w:p>
      <w:r>
        <w:t>f. Le recourant conteste, enfin, avoir manqué à ses devoirs en matière de tenue du dossier médical de la patiente.</w:t>
      </w:r>
    </w:p>
    <w:p>
      <w:r>
        <w:t>Il n’est toutefois pas contesté que celui-ci ne contient pas tous les éléments en lien avec sa prise en charge. En effet, outre l’absence des images échographiques de la masse réalisées aux dires du recourant à plusieurs reprises en 2015 et de leur description le cas échéant au dossier, celui-ci ne contient pas non plus d’images de l’échographie que le recourant a allégué avoir réalisée en début d’année 2013, ses notes ne faisant du reste aucune mention d’une consultation y relative.</w:t>
      </w:r>
    </w:p>
    <w:p>
      <w:r>
        <w:t>Par ailleurs, le dossier ne contient pas non plus la description de l’examen du 28 avril 2015 au cours duquel il aurait décelé la présence de la masse, pas davantage que les interventions des 20 et 27 mai 2015, cette dernière n’étant pas du tout mentionnée.</w:t>
      </w:r>
    </w:p>
    <w:p>
      <w:r>
        <w:t>À cela s’ajoute que le dossier contient également, pour chacune des interventions des 20 et 27 mai 2015, deux rapports au contenu identique à quelques mots près, sauf s’agissant de la mention de l’anesthésiste présente lors des opérations, seul l’un des exemplaires étant signé, ce qui ne facilite pas non plus la compréhension du dossier de la patiente et est propre à porter à confusion.</w:t>
      </w:r>
    </w:p>
    <w:p>
      <w:r>
        <w:t>Au vu de ces éléments, l’autorité intimée pouvait considérer que le dossier médical de la patiente n’avait pas été tenu de manière conforme aux dispositions légales applicables.</w:t>
      </w:r>
    </w:p>
    <w:p>
      <w:r>
        <w:t>- 27/30 - A/2736/2021 12) Le recourant conteste la sanction infligée à son encontre.</w:t>
      </w:r>
    </w:p>
    <w:p>
      <w:r>
        <w:t>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143 I 403 consid. 5.6.1). À l’instar de toute liberté, les restrictions à la liberté économique doivent, selon l’art. 36 Cst., se fonder sur une base légale (al. 1), être justifiées par un intérêt public ou par la protection d’un droit fondamental d’autrui (al. 2) et être proportionnées au but visé (al. 3).</w:t>
      </w:r>
    </w:p>
    <w:p>
      <w:r>
        <w:t>b. 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w:t>
      </w:r>
    </w:p>
    <w:p>
      <w:r>
        <w:t>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w:t>
      </w:r>
    </w:p>
    <w:p>
      <w:r>
        <w:t>c. 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3.3). Le prononcé d’une sanction disciplinaire tend uniquement à la sauvegarde de l’intérêt public (arrêt du Tribunal fédéral 2C_451/2020 précité consid. 12.1).</w:t>
      </w:r>
    </w:p>
    <w:p>
      <w:r>
        <w:t>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w:t>
      </w:r>
    </w:p>
    <w:p>
      <w:r>
        <w:t>- 28/30 - A/2736/2021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13) En l’espèce, en lien avec les manquements constatés, l’autorité intimée a prononcé à l’encontre du recourant un retrait du droit de pratiquer la profession de médecin d’une durée de trois mois.</w:t>
      </w:r>
    </w:p>
    <w:p>
      <w:r>
        <w:t>Le recourant soutient qu’une telle sanction serait d’une sévérité excessive, invoquant à cet égard un précédent arrêt de la chambre de céans dans lequel une sanction identique avait été infligée à un médecin dont l’erreur aurait entraîné des conséquences plus graves sur le patient concerné. Le recourant perd toutefois de vue que la chambre de céans a considéré, dans cet arrêt, que la sanction prononcée par la commission à l’encontre du médecin en cause était clémente au vu du nombre et de la gravité des manquements commis, qui étaient d’autant plus graves que les risques encourus pour le patient étaient importants (ATA/916/2018 précité consid. 9c). S’agissant de la quotité de la sanction, la chambre de céans, dans un autre arrêt (ATA/473/2018 précité),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w:t>
      </w:r>
    </w:p>
    <w:p>
      <w:r>
        <w:t>Dans le présent cas, les manquements retenus à l’encontre du recourant sont bien plus graves que celui ayant fait l’objet de l’ATA/473/2018 précité. En effet, le recourant a retiré à tort l’utérus de la patiente après avoir négligé une démarche diagnostique complète et posé un diagnostic erroné, ce qui a eu des conséquences irréversibles sur la capacité de la patiente à procréer, dont il n’a au demeurant pas recueilli le consentement éclairé. Il n’a, en outre, pas respecté les règles de la bonne tenue du dossier médical de la patiente. Bien que le recourant n’ait fait l’objet d’aucune sanction administrative par le passé, il n’en a pas moins nié la gravité des agissements commis et ses conséquences sur la patiente, tentant de les minimiser.</w:t>
      </w:r>
    </w:p>
    <w:p>
      <w:r>
        <w:t>La sanction litigieuse respecte le principe de proportionnalité tant s’agissant de sa nature que de sa quotité, dès lors qu’elle ne constitue pas la sanction la plus sévère parmi celles envisageables et que sa durée est limitée à trois mois. Elle n’emporte pas non plus une restriction inadmissible à la liberté économique du recourant. En effet, elle est adéquate et apte à atteindre le but poursuivi, à savoir</w:t>
      </w:r>
    </w:p>
    <w:p>
      <w:r>
        <w:t>- 29/30 - A/2736/2021 assurer, par une mesure de coercition administrative, le bon fonctionnement du corps social auquel l’intéressé appartient, qu’une sanction moins incisive ne permettrait en l’occurrence pas d’atteindre. Elle respecte en outre le principe de la proportionnalité au sens étroit, le but d’intérêt public susmentionné l’emportant sur l’intérêt du recourant à exercer son activité économique pour une durée limitée.</w:t>
      </w:r>
    </w:p>
    <w:p>
      <w:r>
        <w:t>Par conséquent, au regard de la gravité de la violation des devoirs professionnels du recourant, la sanction litigieuse sera confirmée, l’autorité intimée n’ayant, dans ce cadre, ni abusé ni excédé son pouvoir d’appréciation. 14) Mal fondé, le recours sera par conséquent rejeté. 15) 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