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ATA/1300/2017 vom 19. September 2017</w:t>
      </w:r>
    </w:p>
    <w:p>
      <w:r>
        <w:t>GE Cour de justice, 2017-09-19, FR</w:t>
      </w:r>
    </w:p>
    <w:p>
      <w:r>
        <w:rPr>
          <w:b/>
        </w:rPr>
        <w:t xml:space="preserve">Quelle: </w:t>
      </w:r>
      <w:r>
        <w:t>https://mcp.opencaselaw.ch/entscheid/ge_gerichte_ATA_1300_2017</w:t>
      </w:r>
    </w:p>
    <w:p>
      <w:r>
        <w:t>FR: GE_GERICHTE ATA/1300/2017 du 19 septembre 2017</w:t>
      </w:r>
    </w:p>
    <w:p>
      <w:r>
        <w:t>IT: GE_GERICHTE ATA/1300/2017 del 19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Adressé en temps utile au TAPI puis transmis par ce dernier à la chambre administrative, soit la juridiction compétente, le recours est recevable de ces points de vue (art. 132 de la loi sur l’organisation judiciaire du 26 septembre 2010 LOJ - E 2 05 ; art. 62 al. 1 let. a LPA).</w:t>
      </w:r>
    </w:p>
    <w:p>
      <w:r>
        <w:rPr>
          <w:b/>
        </w:rPr>
        <w:t>E. 2</w:t>
      </w:r>
    </w:p>
    <w:p>
      <w:r>
        <w:t>En vertu de l’art. 64 al. 1 LPA, le recours est formé par écrit et adressé à la juridiction administrative appelée à en connaître.</w:t>
      </w:r>
    </w:p>
    <w:p>
      <w:r>
        <w:t>- 3/5 - A/463/2016</w:t>
      </w:r>
    </w:p>
    <w:p>
      <w:r>
        <w:t>a. À teneur des art. 12 ss de la loi fédérale complétant le Code civil suisse du 30 mars 1911 (Livre cinquième : Droit des obligations - CO - RS 220) et notamment de l'art. 14 al. 1 CO, la forme écrite implique que la signature doit être écrite à la main par celui qui s’oblige.</w:t>
      </w:r>
    </w:p>
    <w:p>
      <w:r>
        <w:t>De jurisprudence constante, la signature olographe originale est une condition nécessaire que doit respecter tout acte pour être considéré comme un recours (ATA/201/2012 du 3 avril 2012 consid. 5a ; ATA/36/2011 du 25 janvier 2011 ; ATA/277/2002 du 28 mai 2002 et références citées).</w:t>
      </w:r>
    </w:p>
    <w:p>
      <w:r>
        <w:t>b. La prohibition du formalisme excessif, garantie procédurale découlant de l’art. 29 de la Constitution fédérale de la Confédération suisse du 18 avril 1999 (Cst. - RS 101) commande cependant à l’autorité de ne pas sanctionner par l’irrecevabilité les vices de procédure aisément reconnaissables auxquels il pourrait être remédié à temps, car signalés utilement au plaideur (ATA/244/2010 du 13 avril 2010 ; ATA/668/2009 du 15 décembre 2009 ; ATA/451/2007 du</w:t>
      </w:r>
    </w:p>
    <w:p>
      <w:r>
        <w:rPr>
          <w:b/>
        </w:rPr>
        <w:t>E. 4</w:t>
      </w:r>
    </w:p>
    <w:p>
      <w:r>
        <w:t>Dans ces circonstances, le « recours » sera déclaré irrecevable sans autre mesures d’instruction (art. 72 LPA).</w:t>
      </w:r>
    </w:p>
    <w:p>
      <w:r>
        <w:t>Vu les circonstances d'espèce, et malgré l'issue du litige, il ne sera pas perçu d'émolument (art. 87 al. 1 LPA). Vu en revanche cette issue, il ne sera pas alloué d'indemnité de procédure (art. 87 al. 2 LPA).</w:t>
      </w:r>
    </w:p>
    <w:p>
      <w:r>
        <w:t>- 4/5 - A/463/2016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