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ATA/1298/2024 vom 5. November 2024</w:t>
      </w:r>
    </w:p>
    <w:p>
      <w:r>
        <w:t>GE Cour de justice, 2024-11-05, FR</w:t>
      </w:r>
    </w:p>
    <w:p>
      <w:r>
        <w:rPr>
          <w:b/>
        </w:rPr>
        <w:t xml:space="preserve">Quelle: </w:t>
      </w:r>
      <w:r>
        <w:t>https://mcp.opencaselaw.ch/entscheid/ge_gerichte_ATA_1298_2024</w:t>
      </w:r>
    </w:p>
    <w:p>
      <w:r>
        <w:t>FR: GE_GERICHTE ATA/1298/2024 du 5 novembre 2024</w:t>
      </w:r>
    </w:p>
    <w:p>
      <w:r>
        <w:t>IT: GE_GERICHTE ATA/1298/2024 del 5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60 al. 1 LIPAD).</w:t>
      </w:r>
    </w:p>
    <w:p>
      <w:r>
        <w:rPr>
          <w:b/>
        </w:rPr>
        <w:t>E. 2</w:t>
      </w:r>
    </w:p>
    <w:p>
      <w:r>
        <w:t>Le recourant sollicite une audience de comparution personnelle.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w:t>
      </w:r>
    </w:p>
    <w:p>
      <w:r>
        <w:t>- 8/18 - A/1891/2024 (ATF 145 I 167 consid. 4.1 ; 140 I 285 consid. 6.3.1 ; 138 III 374 consid. 4.3.2). En outre, il n'implique pas le droit d'être entendu oralement, ni celui d'obtenir l'audition de témoins (ATF 134 I 140 consid. 5.3 ; 130 II 425 consid. 2.1).</w:t>
      </w:r>
    </w:p>
    <w:p>
      <w:r>
        <w:rPr>
          <w:b/>
        </w:rPr>
        <w:t>E. 2.2</w:t>
      </w:r>
    </w:p>
    <w:p>
      <w:r>
        <w:t>En l'espèce, le recourant, qui ne dispose pas du droit à être entendu oralement, a eu l’occasion d’exposer son point de vue en détail par écrit tant devant l’autorité intimée que devant la chambre de céans, à l’occasion d’un double échange d’écritures. Le dossier contient au demeurant les déterminations écrites de l’appelé en cause, en particulier son écriture du 24 août 2022 dans laquelle il expose en détail les raisons pour lesquelles les extraits sollicités de son agenda électronique devraient, selon lui, être soustraits au droit d’accès. Son audition ne servirait qu’à confirmer sa position déjà exprimée par écrit. La mesure d’instruction sollicitée n’apparaît donc pas nécessaire, les informations utiles à la résolution du litige ressortant du dossier. Il ne sera donc pas donné suite à la demande de comparution personnelle formée par le recourant.</w:t>
      </w:r>
    </w:p>
    <w:p>
      <w:r>
        <w:rPr>
          <w:b/>
        </w:rPr>
        <w:t>E. 3</w:t>
      </w:r>
    </w:p>
    <w:p>
      <w:r>
        <w:t>Le litige porte sur la conformité au droit de la décision par laquelle l’intimée a refusé de donner au recourant l’accès à l’agenda de l’ancien procureur pour les mois d’octobre 2016, mars 2017 et février 2018.</w:t>
      </w:r>
    </w:p>
    <w:p>
      <w:r>
        <w:rPr>
          <w:b/>
        </w:rPr>
        <w:t>E. 3.1</w:t>
      </w:r>
    </w:p>
    <w:p>
      <w:r>
        <w:t>La juridiction administrative chargée de statuer est liée par les conclusions des parties. Elle n’est en revanche pas liée par les motifs que les parties invoquent (art. 69 al. 1 LPA). Si la juridiction administrative admet le recours, elle réforme la décision attaquée ou l’annule. Si elle le juge nécessaire, elle peut renvoyer l’affaire à l’autorité qui a statué pour nouvelle décision (art. 69 al. 3 LPA).</w:t>
      </w:r>
    </w:p>
    <w:p>
      <w:r>
        <w:rPr>
          <w:b/>
        </w:rPr>
        <w:t>E. 3.2</w:t>
      </w:r>
    </w:p>
    <w:p>
      <w:r>
        <w:t>L’activité publique s’exerce de manière transparente, conformément aux règles de la bonne foi, dans le respect du droit fédéral et du droit international (art. 9 al. 3 Constitution de la République et canton de Genève du 14 octobre 2012 - Cst-GE - A 2 00).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w:t>
      </w:r>
    </w:p>
    <w:p>
      <w:r>
        <w:t>- 9/18 - A/1891/2024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w:t>
      </w:r>
    </w:p>
    <w:p>
      <w:r>
        <w:rPr>
          <w:b/>
        </w:rPr>
        <w:t>E. 4</w:t>
      </w:r>
    </w:p>
    <w:p>
      <w:r>
        <w:t>Dans un premier grief, le recourant reproche à l’autorité intimée d’avoir considéré que les extraits d’agenda de l’ancien procureur étaient soustraits au droit d’accès consacré par la LIPAD.</w:t>
      </w:r>
    </w:p>
    <w:p>
      <w:r>
        <w:rPr>
          <w:b/>
        </w:rPr>
        <w:t>E. 4.1</w:t>
      </w:r>
    </w:p>
    <w:p>
      <w:r>
        <w:t>La LIPAD s’applique aux pouvoirs exécutif, législatif et judiciaire cantonaux, ainsi que leurs administrations et les commissions qui en dépendent (art. 3 al. 1 let. a LIPAD). Selon l’art. 3 al. 3 LIPAD, le traitement de données personnelles par les institutions publiques n’est pas soumis à la loi lorsqu’il : se limite à la prise de notes à usage personnel (let. a) ;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ou de remplir les tâches de surveillance dont ils sont ou ont été investis, sous réserve de l’art. 39 al. 3 (let. b). Selon l’art. 2 du règlement du Pouvoir judiciaire sur l'accès aux documents et aux données personnelles du 1er novembre 2021 (RADPJ - E 2 05.52), par document judiciaire, on entend les décisions judiciaires et les autres documents d'une procédure judiciaire (al. 1). Par document administratif, on entend tout autre document traité par le Pouvoir judiciaire (al. 2). Selon le message à l’appui de la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Le traitement de données personnelles n’est ainsi pas soumis à la loi lorsqu’il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saisis ou de remplir les tâches de surveillance dont ils sont investis (Mémorial des séances du Grand Conseil de la République et canton de Genève [ci-après : MGC] 2005-2006 Y A, p. 8490).</w:t>
      </w:r>
    </w:p>
    <w:p>
      <w:r>
        <w:rPr>
          <w:b/>
        </w:rPr>
        <w:t>E. 4.2</w:t>
      </w:r>
    </w:p>
    <w:p>
      <w:r>
        <w:t>Au plan fédéral – non concerné ici –, la loi fédérale sur le principe de la transparence dans l’administration du 17 décembre 2004 (LTrans - RS 152.3)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w:t>
      </w:r>
    </w:p>
    <w:p>
      <w:r>
        <w:t>- 10/18 - A/1891/2024 ; 133 II 209 consid. 2.3.1 ; FF 2003 1807, p. 1819).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(ATA/39/2022 du 18 janvier 2022 consid. 7b et l'arrêt cité). Selon l’art. 3 al. 1 let. a LTrans, celle-ci ne s’applique pas à l’accès aux documents officiels concernant les procédures civiles (ch. 1) et pénales (ch. 2). Selon le message du Conseil fédéral du 12 février 2003 relatif à LTrans, l’accès aux documents relatifs aux procédures administratives et judiciaires énumérées à l’art. 3 let. a LTrans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Un avis de droit commandé par l’administration en vue de l’ouverture éventuelle d’une action en justice, par exemple, pourrait être très utile à un administré pour préparer sa défense puisqu’il pourrait alors s’appuyer sur les conclusions de cet avis. Un tel document serait toutefois susceptible de perturber le déroulement de la procédure à venir ou en cours, particulièrement si l’État est partie au procès et s’il choisit comme ligne de défense un argument opposé à l’avis de droit en question (FF 2003 1807, p. 1850).</w:t>
      </w:r>
    </w:p>
    <w:p>
      <w:r>
        <w:rPr>
          <w:b/>
        </w:rPr>
        <w:t>E. 4.3</w:t>
      </w:r>
    </w:p>
    <w:p>
      <w:r>
        <w:t>Dans sa jurisprudence, le Tribunal fédéral a retenu que la LIPAD ne s’appliquait pas aux procédures civiles, pénales et administratives en cours. Le législateur genevois avait certes considéré qu'il n'y avait pas de raison de principe de soustraire le Pouvoir judiciaire au principe de la transparence sur ses activités. Toutefois, pour les procédures pendantes, les règles relatives à la consultation du dossier étaient fixées par les différentes lois de procédure. En matière pénale, l'autorité compétente selon les art. 74 et 102 CPP était la direction de la procédure ; celle-ci devait notamment respecter la présomption d'innocence et les autres intérêts légitimes au maintien du secret (arrêt du Tribunal fédéral 1C_604/2015 et 1C_606/2015 du 14 juin 2016 consid. 4.4). Dans un arrêt ultérieur, le Tribunal fédéral a été saisi d’un refus d’accès au dossier personnel du recourant au motif que la production des pièces avait déjà été requise dans le cadre de la procédure civile. Il a considéré que ni l'arrêt attaqué, ni le département n'indiquent quel intérêt prépondérant, public ou privé lié à la procédure civile en cours s'opposerait à ce que le recourant ait accès à son dossier personnel (arrêt du Tribunal fédéral 1C_642/2017 du 28 mai 2018 consid. 2.3). Plus récemment, dans un arrêt publié, le Tribunal fédéral s’est demandé si un rapport d'audit commandé par le Conseil d’État du canton de Neuchâtel et figurant dans des dossiers de procédures civile et pénale était soumis à la Convention</w:t>
      </w:r>
    </w:p>
    <w:p>
      <w:r>
        <w:t>- 11/18 - A/1891/2024 intercantonale du 9 mai 2012 relative à la protection des données et à la transparence dans les cantons du Jura et de Neuchâtel. Il a considéré que tant dans la procédure pénale que dans les procédures civiles en cours, le rapport d'audit ne constituait ni un acte de procédure ni un acte d'instruction lié à la procédure en cause ; il s'agissait d'un document élaboré en dehors de toute procédure judiciaire qui avait simplement été déposé dans les dossiers civils et pénal. Il n'était ainsi pas exclu du champ d'application de la convention précitée. Se référant au message relatif à la LTrans, il a relevé que les documents qui, bien qu'ayant un rapport plus large avec les procédures en question, ne faisaient pas partie du dossier de procédure au sens strict, étaient en revanche accessibles aux conditions de la loi sur la transparence. Afin d'éviter une collision de normes, il était impossible de recourir à la LTrans dans le but d'éluder les règles spéciales concernant l'accès aux documents relevant des procédures topiques. L’accès à un document ne devait pas pouvoir entraver la bonne marche d'une procédure judiciaire. Il fallait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(ATF 147 I 47 consid. 3.4).</w:t>
      </w:r>
    </w:p>
    <w:p>
      <w:r>
        <w:rPr>
          <w:b/>
        </w:rPr>
        <w:t>E. 4.4</w:t>
      </w:r>
    </w:p>
    <w:p>
      <w:r>
        <w:t>En l’espèce, il n’est pas contesté que la demande d'accès à l'agenda de l'ancien procureur a été adressée au Pouvoir judiciaire, soit une institution publique à laquelle la LIPAD s'applique (art. 3 al. 1 let. a LIPAD). L’intimée considère toutefois que le document sollicité a trait à l’activité juridictionnelle du Ministère public, si bien qu’il serait soustrait au droit d’accès consacré par la LIPAD, comme cela est rappelé à l’art. 3 al. 3 let. b LIPAD. Il est vrai que la LIPAD ne s'applique pas aux procédures civiles, pénales et administratives en cours. Ainsi, pour les procédures pendantes, les règles relatives à la consultation du dossier sont fixées par les différentes lois de procédure. L’art. 3 al. 3 let. b LIPAD vise toutefois le traitement de données personnelles effectué par les juridictions « en application des lois de procédure pénale, civile, administrative ou d’entraide judiciaire ». Or, il va de soi que l’inscription d’une entrée dans un agenda professionnel, certes en lien avec une procédure en cours, n’est pas effectuée en application d’une loi de procédure, mais dans une pure optique d’aide organisationnelle. Le texte de l’art. 3 al. 3 let. b LIPAD est absolument clair et n'autorise aucune interprétation divergente. C’est ainsi en vain que l’autorité intimée déduit du message de la LIPAD que cette disposition vise en réalité tous les documents judiciaires « au sens large », dont l’utilisation d’un agenda électronique. Le message indique par ailleurs expressément que la réserve de l’art. 3 al. 3 let. b LIPAD est justifiée par le fait que ce domaine est régi par les lois de procédure (MGC, p. 14098). C’est en ce sens que le Tribunal fédéral a interprété l’art. 3 al. 1 let. a LTrans, en retenant que les documents qui, bien</w:t>
      </w:r>
    </w:p>
    <w:p>
      <w:r>
        <w:t>- 12/18 - A/1891/2024 qu’ayant un rapport plus large avec les procédures en question, ne font pas partie du dossier de procédure au sens strict, sont accessibles aux conditions de la loi sur la transparence. Or, en l’occurrence, l’agenda du procureur n’est pas intégré au dossier pénal en cours et n’influe aucunement sur le processus décisionnel proprement dit. Ainsi, comme l’a retenu le préposé dans sa recommandation, il s’agit d’un document administratif qui, bien qu’ayant un rapport plus large avec une procédure pénale en cours, n’a pas été rempli en application d’une loi de procédure pénale. C’est partant à tort que, se fondant sur l’art. 3 al. 3 let. b LIPAD, la décision entreprise a soustrait l’agenda du procureur au champ d’application de la LIPAD.</w:t>
      </w:r>
    </w:p>
    <w:p>
      <w:r>
        <w:rPr>
          <w:b/>
        </w:rPr>
        <w:t>E. 5</w:t>
      </w:r>
    </w:p>
    <w:p>
      <w:r>
        <w:t>Le recourant critique ensuite l’argumentation retenue à titre subsidiaire par l’autorité intimée, selon laquelle l’agenda de l’ancien procureur, utilisé uniquement comme aide-mémoire, n’entre pas dans la catégorie des documents accessibles selon la LIPAD.</w:t>
      </w:r>
    </w:p>
    <w:p>
      <w:r>
        <w:rPr>
          <w:b/>
        </w:rPr>
        <w:t>E. 5.1</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La demande d’accès n’est en principe soumise à aucune exigence de forme. Elle n’a pas à être motivée, mais elle doit contenir des indications suffisantes pour permettre l’identification du document recherché (art. 28 al. 1 LIPAD). Selon l’art. 25 LIPAD,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loi (al. 4). L’art. 25 al. 4 LIPAD exclut ainsi de la notion de document les notes à usage personnel (à savoir les notes prises à l’usage exclusif de celui qui les prend, et non les notes adressées même confidentiellement à une personne déterminée) ainsi que les brouillons ou autres textes inachevés (ATA/1267/2021 du 23 novembre 2021 consid. 6e),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7694).</w:t>
      </w:r>
    </w:p>
    <w:p>
      <w:r>
        <w:t>- 13/18 - A/1891/2024 Selon l’art. 6 let. a du règlement d'application de la loi sur l'information du public, l'accès aux documents et la protection des données personnelles du 21 décembre 2011 (RIPAD - A 2 08.01), constituent notamment des notes à usage personnel au sens de l’art. 25 al. 4 LIPAD, qu’elles soient manuscrites ou non et quels qu’en soient la forme ou le support : les notes prises en vue de la rédaction future d’un document. L’application de la LIPAD n’est pas inconditionnelle. L’art. 26 LIPAD fixe en effet des exceptions au droit d'accès. Sont ainsi soustraits au droit d'accès les documents à la communication desquels un intérêt public ou privé prépondérant s'oppose (art. 26 al. 1 LIPAD). Tel est le cas, notamment, lorsque l’accès aux documents est propre à mettre en péril la sécurité de l’État, la sécurité publique, les relations internationales de la Suisse ou les relations confédérales (art. 26 al. 2 let. a LIPAD). Selon le message à l'appui de la LIPAD,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par le législateur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w:t>
      </w:r>
    </w:p>
    <w:p>
      <w:r>
        <w:rPr>
          <w:b/>
        </w:rPr>
        <w:t>E. 5.2</w:t>
      </w:r>
    </w:p>
    <w:p>
      <w:r>
        <w:t>L’art. 25 al. 1 et 4 LIPAD a une teneur similaire à l’art. 5 al. 1 et 3 LTrans. Selon cette disposition, on entend par document officiel toute information qui a été enregistrée sur un quelconque support (let. a), qui est détenue par l’autorité dont elle émane ou à laquelle elle a été communiquée (let. b) et qui concerne l’accomplissement d’une tâche publique (let. c). Ne sont pas considérés comme des documents officiels les documents qui n’ont pas atteint leur stade définitif d’élaboration ou qui sont destinés à l’usage personnel (art. 5 al. 3 let. b et c LTrans). Au plan fédéral, l’art. 1 al. 3 de l’ordonnance sur le principe de la transparence dans l’administration (OTrans - RS 152.31)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w:t>
      </w:r>
    </w:p>
    <w:p>
      <w:r>
        <w:t>- 14/18 - A/1891/2024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bureau (commentaire du 24 mai 2006 de l'Ordonnance relative à la loi fédérale sur le principe de la transparence, p. 2 et 3). Dans un arrêt publié aux ATF 142 II 324, le Tribunal fédéral a examiné le point de savoir si l’agenda Outlook de l’ancien chef de l’armement devait être considéré comme un document officiel au sens de l’art. 5 LTrans. Il a retenu que tel était le cas. Les informations contenues dans l’agenda Outlook dépeignaient globalement l’activité officielle de l’ancien chef de l’armement. Celui-ci avait utilisé son agenda en rapport avec l’accomplissement de sa fonction, et donc aussi pour exécuter des tâches publiques. Bien que des rendez-vous privés y aient aussi été consignés, les agendas électroniques et les informations qui y étaient contenues servaient principalement à l’activité professionnelle et à la direction de l’office, si bien que l’art. 5 al. 1 let. c LTrans trouvait application. Les inscriptions de l’agenda donnaient dans leur ensemble une vision de l’accomplissement de sa fonction par l’ancien chef de l’armement et des processus de la direction militaire. L’agenda Outlook n’était au demeurant pas destiné à son usage personnel, puisqu’il servait à la communication et à la coopération entre les collaborateurs. Le détenteur pouvait conférer des droits d’accès différents à divers utilisateurs, variant de la simple indication des périodes libres ou occupées jusqu’à l’affichage de tous les détails. L’agenda Outlook permettait aussi d’envoyer des invitations à participer à des séances. Il s’agissait donc, dans l’ensemble, d’un instrument destiné à soutenir sous divers aspects la coopération de divers utilisateurs. L’agenda n’était enfin pas uniquement un aide-mémoire personnel destiné à la gestion des rendez-vous individuels. Sa portée était notablement plus étendue : son détenteur était l’un des cadres plus élevés du département fédéral de la défense. Son agenda avait une influence déterminante dans l’ensemble de l’activité et des processus de l’office fédéral de l’armement. Même si le cercle des personnes habilitées à y accéder se limitait aux cadres supérieurs de l’office, il n’était pas qu’un simple aide-mémoire pour le déroulement de la journée et la gestion des rendez-vous. Il s’agissait d’un instrument de conduite essentiel pour la direction de l’office (consid. 2.5.1 et 2.5.2).</w:t>
      </w:r>
    </w:p>
    <w:p>
      <w:r>
        <w:rPr>
          <w:b/>
        </w:rPr>
        <w:t>E. 5.3</w:t>
      </w:r>
    </w:p>
    <w:p>
      <w:r>
        <w:t>Conformément à l'art. 30 al. 1 Cst., toute personne dont la cause doit être jugée dans une procédure judiciaire a droit à ce qu'elle soit portée devant un tribunal établi par la loi, compétent, indépendant et impartial. À Genève, le principe de l’indépendance du magistrat est ancré aux art. 117 al. 2 de la Constitution de la République et canton de Genève du 14 octobre 2012 [Cst-GE - A 2 00] et 2 al. 1 LOJ.</w:t>
      </w:r>
    </w:p>
    <w:p>
      <w:r>
        <w:rPr>
          <w:b/>
        </w:rPr>
        <w:t>E. 5.4</w:t>
      </w:r>
    </w:p>
    <w:p>
      <w:r>
        <w:t>Dans le cas particulier, il n’est pas contesté que l’ancien procureur a utilisé son agenda en rapport avec l’accomplissement de sa fonction, et donc aussi pour exécuter des tâches publiques. Conformément à la jurisprudence précitée, bien que</w:t>
      </w:r>
    </w:p>
    <w:p>
      <w:r>
        <w:t>- 15/18 - A/1891/2024 des rendez-vous privés y aient aussi été consignés, l’agenda électronique et les informations qui y sont contenues servent principalement à l’activité professionnelle, si bien qu’il constitue, sous réserve des cas visé à l’art. 25 al. 4 LIPAD, dont il sera question ci-après, un document au sens de l’art. 25 al. 1 LIPAD. Les parties s’opposent sur le point de savoir si les extraits de l’agenda sollicités constituent des « notes à usage personnel » au sens de l’art. 25 al. 4 LIPAD (art. 3 al. 3 let. a LIPAD). Dans la décision entreprise, l’autorité intimée a considéré que l’agenda litigieux n’était utilisé par l’ancien procureur que comme aide-mémoire, de sorte qu’il était l’équivalent des notes à usage personnel. Compte tenu de l’absence de fonction hiérarchique du magistrat et de l’indépendance requise dans l’exercice de ses fonctions juridictionnelles, l’agenda litigieux ne contenait aucun élément sur la gestion d’un service. Il n’avait ainsi pas la même portée que l’agenda de l’ancien chef de l’armement de l’office fédéral de l’armement visé dans l’ATF 142 II 324. Se fondant sur la recommandation du préposé ainsi que sur l’arrêt précité, le recourant conteste ce point de vue. Il considère que l’agenda constitue un élément de conduite du cabinet du procureur, investi de la charge de direction de la procédure. Il ne s’agit ainsi pas d’un point central de la gestion d’un rendez-vous d’un procureur. En l’occurrence, à l’aune de la jurisprudence susmentionnée, il convient d’examiner si l’agenda litigieux a une influence déterminante dans l’ensemble de l’activité et des processus de la juridiction concernée et s’il constitue un instrument de conduite essentiel pour la direction du cabinet du procureur. Ainsi que l’a retenu le préposé dans sa recommandation, la réponse à cette question n’est pas d’emblée évidente. Dans ses déterminations devant l’autorité intimée, l’appelé en cause a précisé les modalités d’utilisation de son agenda Outlook. Il a notamment relevé qu’il était le seul à en avoir la maîtrise ; son usage – facultatif – n’était destiné qu’à lui-même et à l’organisation de ses différentes activités. En tant qu’il était strictement personnel et confidentiel, son agenda n’avait aucune vocation à organiser l’activité d’autres personnes et encore moins d’un service, étant précisé qu’il n’exerçait aucune fonction hiérarchique. Il ne donnait aucune vue sur « l’activité publique » du Ministère public ou d’un cabinet, pas plus qu’il ne servait à gérer un service. Sur la base de ces explications, force est de retenir que la présente espèce se distingue de la situation envisagée dans l’ATF 142 II 324 sur deux points principaux : d’une part, l’agenda litigieux est destiné à l’usage exclusif de son détenteur ; d’autre part, il ne joue aucun rôle dans l’organisation, la conduite et la communication de sa juridiction ou de son cabinet. Certes, parmi les différentes fonctions que propose un agenda Outlook, figurent la communication et la coopération entre les collaborateurs. Un tel outil permet en particulier de coordonner les rendez-vous, de transmettre des informations à l’intérieur d’une équipe et de planifier l’activité de collaborateurs. Or, l’ancien procureur a dûment expliqué que, dans le cadre de son utilisation concrète de l’agenda mis à sa disposition par l’État, il ne faisait pas usage de ces options de partage et de</w:t>
      </w:r>
    </w:p>
    <w:p>
      <w:r>
        <w:t>- 16/18 - A/1891/2024 communication. Il n’avait pas conféré de droits d’accès à son agenda, lequel était strictement personnel. Il n’a pas non plus indiqué avoir envoyé d’invitations à participer à des séances, ce qui ne ressort d’ailleurs pas des pièces litigieuses. Les entrées inscrites au calendrier concernent uniquement le magistrat en question et ne portent pas sur des séances de travail ou des réunions ayant une incidence sur l’organisation d’autres membres de la juridiction. C’est le lieu de rappeler que, dans l’arrêt précité, l’ancien chef de l’armement de l’office fédéral de l’armement avait lui-même exposé qu’il ne pouvait imaginer l’organisation et la communication interne sans avoir recours à l’agenda Outlook. L’ancien procureur ne se trouve toutefois pas dans cette situation : contrairement à celui qui occupe la position d’un des cadres les plus élevés du département fédéral de la défense, le procureur n’assume aucune fonction hiérarchique et exerce ses activités juridictionnelles dans le respect de l’indépendance du magistrat. Le déroulement de sa journée et la gestion de ses propres rendez-vous n’a aucune influence sur l’activité des autres membres de la juridiction. L’utilisation de son agenda Outlook, facultative et réservée à son seul usage, sert ainsi uniquement d’aide-mémoire. Contrairement à ce que soutient le recourant, ce raisonnement n’entre pas en contradiction avec la recommandation du 14 décembre 2021 du préposé fédéral à la protection des données et à la transparence portant sur la demande d’accès aux extraits d’agendas de deux collaborateurs de l’AFC-CH. Il ressort en effet de cette recommandation que, faute pour l’AFC-CH d’avoir communiqué les caractéristiques générales des entrées dans les calendriers des collaborateurs (par exemple les séances de travail, rendez-vous médicaux, voyage de service, etc.), le préposé n’avait pas été en mesure d’apprécier la nature desdits rendez-vous. L’AFC-CH, qui supportait le fardeau de la preuve, n’avait dès lors pas fourni une motivation suffisante permettant de démontrer qu'en l'espèce les entrées des deux calendriers n’avaient pas de lien avec l’accomplissement d’une tâche publique ou qu’elles étaient uniquement destinées à un cercle restreint de personnes, si bien que l’exception de l'art. 5 al. 3 let. c LTrans ne pouvait être retenue. Or, en l’occurrence, l’ancien procureur a produit les extraits litigieux et s’est déterminé tant sur les caractéristiques générales des entrées sur son agenda que sur l’utilisation – exclusive – qu’il en faisait. Aussi est-ce à raison que l’autorité intimée a refusé de donner accès aux extraits sollicités de l’agenda de l’ancien procureur. Compte tenu de l’issue du litige, il n’est pas nécessaire d’examiner si, comme le retient la décision entreprise à titre subsidiaire, l’accès au document sollicité reviendrait à rendre inopérantes les restrictions au droit d’accès prévues aux art. 100 et 101 CPP. Mal fondé, le recours sera rejeté.</w:t>
      </w:r>
    </w:p>
    <w:p>
      <w:r>
        <w:rPr>
          <w:b/>
        </w:rPr>
        <w:t>E. 6</w:t>
      </w:r>
    </w:p>
    <w:p>
      <w:r>
        <w:t>Vu l'issue du litige, un émolument de CHF 1’000.- sera mis à la charge du recourant (art. 87 al. 1 LPA), et il ne sera pas alloué d'indemnité de procédure, l'appelé en cause n'ayant pas exposé de frais pour sa défense (art. 87 al. 2 LPA).</w:t>
      </w:r>
    </w:p>
    <w:p>
      <w:r>
        <w:t>- 17/18 - A/1891/2024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