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ATA/1296/2017 vom 19. September 2017</w:t>
      </w:r>
    </w:p>
    <w:p>
      <w:r>
        <w:t>GE Cour de justice, 2017-09-19, FR</w:t>
      </w:r>
    </w:p>
    <w:p>
      <w:r>
        <w:rPr>
          <w:b/>
        </w:rPr>
        <w:t xml:space="preserve">Quelle: </w:t>
      </w:r>
      <w:r>
        <w:t>https://mcp.opencaselaw.ch/entscheid/ge_gerichte_ATA_1296_2017</w:t>
      </w:r>
    </w:p>
    <w:p>
      <w:r>
        <w:t>FR: GE_GERICHTE ATA/1296/2017 du 19 septembre 2017</w:t>
      </w:r>
    </w:p>
    <w:p>
      <w:r>
        <w:t>IT: GE_GERICHTE ATA/1296/2017 del 19 settembre 2017</w:t>
      </w:r>
    </w:p>
    <w:p>
      <w:pPr>
        <w:pStyle w:val="Heading2"/>
      </w:pPr>
      <w:r>
        <w:t>Regeste</w:t>
      </w:r>
    </w:p>
    <w:p>
      <w:r>
        <w:t>Résumé: Confirmation d'une décision refusant la récusation d'un enquêteur administratif en l'absence de prévention. Le fait que cet enquêteur soit rémunéré par l'État ne pose en particulier aucun problème d'indépendance, pas plus que le fait qu'il soit régulièrement nommé en tant que tel.</w:t>
      </w:r>
    </w:p>
    <w:p>
      <w:pPr>
        <w:pStyle w:val="Heading2"/>
      </w:pPr>
      <w:r>
        <w:t>Erwägungen</w:t>
      </w:r>
    </w:p>
    <w:p>
      <w:r>
        <w:rPr>
          <w:b/>
        </w:rPr>
        <w:t>E. 26</w:t>
      </w:r>
    </w:p>
    <w:p>
      <w:r>
        <w:t>septembre 2010 - LOJ - E 2 05 ; art. 62 al. 1 let. a de la loi sur la procédure administrative du 12 septembre 1985 - LPA - E 5 10). 2) a. Aux termes de l’art. 57 let. c LPA, le recours contre une décision incidente n’est ouvert que si celle-ci cause un préjudice irréparable ou si l’admission du recours peut conduire immédiatement à une décision finale qui permet d’éviter une procédure probatoire longue et coûteuse. La décision sur récusation est une décision incidente, qui ne met pas fin à la procédure, par opposition à une décision finale (ATF 126 I 203 consid. 1). En droit genevois, elle est susceptible d’un recours immédiat car elle cause un préjudice irréparable, le recourant ayant un intérêt digne de protection à ce que la décision attaquée soit immédiatement annulée ou modifiée (ATF 126 V 244 consid. 2a ; ATA/657/2015 du 23 juin 2015 ; ATA/385/2014 du 27 mai 2014 ; ATA/58/2014 du 4 février 2014 ; ATA/305/2009 et ATA/306/2009 du 23 juin 2009).</w:t>
      </w:r>
    </w:p>
    <w:p>
      <w:r>
        <w:t>b. En l’espèce, le recours porte sur une décision refusant la récusation, requise par le recourant, de l’enquêteur en charge de la procédure administrative ouverte à son encontre. Cette décision, incidente, est susceptible d’un recours immédiat, dès lors qu’elle cause un préjudice irréparable à l’intéressé, selon la jurisprudence susmentionnée. Il s’ensuit que le recours est également recevable sous cet angle.</w:t>
      </w:r>
    </w:p>
    <w:p>
      <w:r>
        <w:t>- 9/14 - A/2359/2017 3)</w:t>
      </w:r>
    </w:p>
    <w:p>
      <w:r>
        <w:t>Le recourant demande que le département fournisse des renseignements au sujet du nombre d'enquêtes confiées à M. H______ et de la rémunération de ce dernier.</w:t>
      </w:r>
    </w:p>
    <w:p>
      <w:r>
        <w:t>a. Le droit d’être entendu garanti par l’art. 29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140 I 285 consid. 6.3.1 ; 135 I 279 consid. 2.3 ; arrêt du Tribunal fédéral 2C_597/2015 du 2 février 2016 consid. 3.1).</w:t>
      </w:r>
    </w:p>
    <w:p>
      <w:r>
        <w:t>b. En l'espèce, la demande d'administration de preuves porte sur des faits qui procèdent d'autres causes auxquelles le recourant n'est pas partie – et pour lesquelles les art. 41 ss LPA ne lui confèrent donc en principe pas d'accès au dossier –, qui relèvent pour partie, notamment en ce qui concerne la question de la rémunération totale touchée par l'enquêteur, de la sphère privée, et surtout qui ne sont pas pertinents pour l'issue du litige, ainsi qu'il résulte des considérants qui suivent.</w:t>
      </w:r>
    </w:p>
    <w:p>
      <w:r>
        <w:t>Elle sera dès lors rejetée. 4) a. En vertu de l’art. 15 al. 1 let. d LPA, les membres des autorités administratives appelés à rendre ou à préparer une décision doivent se récuser s’il existe des circonstances de nature à faire suspecter leur partialité. La demande de récusation doit être formée sans délai (art. 15 al. 3 LPA).</w:t>
      </w:r>
    </w:p>
    <w:p>
      <w:r>
        <w:t>b. En l’espèce, la demande de récusation a été déposée le 25 avril 2017. Elle fait suite à l'arrêté du 12 avril 2017 désignant M. H______ comme enquêteur administratif. On peut dès lors se demander si la condition de délai était ou non remplie ; toutefois, dans la mesure où une violation de l'obligation d'agir sans délai n'est pas patente, et où le département est entré en matière sur la décision attaquée sans remettre en cause la validité de la demande sur ce point, la chambre de céans considérera également cette condition comme remplie. 5) a. Découlant de l’art. 29 Cst., la garantie d’impartialité d’une autorité administrative ne se confond pas avec celle d’un tribunal (art. 30 Cst.) dans la mesure où la première n’impose pas l’indépendance et l’impartialité comme maxime d’organisation d’autorités gouvernementales, administratives ou de gestion (ATF 125 I 209 consid. 8a ; 125 I 119 ; ATA/52/2011 du 1er février 2011 ; Pierre MOOR/Étienne POLTIER, Droit administratif, vol. II, 2011, p. 242 ch. 2.2.5.2). Il y a toutefois équivalence de motifs de récusation entre instances administratives et judiciaires lorsqu'existe un motif de prévention, supposé ou avéré, qui commande d’écarter une personne déterminée de la procédure en raison</w:t>
      </w:r>
    </w:p>
    <w:p>
      <w:r>
        <w:t>- 10/14 - A/2359/2017 de sa partialité (arrêt du Tribunal fédéral 1C_389/2009 du 19 janvier 2010 ; ATA/237/2017 précité et les références citées).</w:t>
      </w:r>
    </w:p>
    <w:p>
      <w:r>
        <w:t>b. L’obligation d’impartialité de l’autorité découlant de l'art. 29 al. 1 Cst. permet – indépendamment du droit cantonal – d'exiger la récusation des membres d'une autorité administrative dont la situation ou le comportement est de nature à faire naître un doute sur leur impartialité. Cette protection tend notamment à éviter que des circonstances extérieures à l'affaire ne puissent influencer une décision en faveur ou au détriment de la personne concernée. Elle n'impose pas la récusation seulement lorsqu'une prévention effective du membre de l'autorité est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 les impressions purement individuelles des personnes impliquées ne sont pas décisives (arrêt du Tribunal fédéral 1C_389/2009 précité ; ATF 142 III 521 consid. 3.1.1 ; 131 I 24 consid. 1.1 ; 127 I 196 consid. 2b ; 125 I 209 consid. 8a ; 125 I 119 consid. 3b).</w:t>
      </w:r>
    </w:p>
    <w:p>
      <w:r>
        <w:t>Les soupçons de prévention peuvent être fondés sur un comportement ou sur des éléments extérieurs, de nature fonctionnelle ou organisationnelle (arrêt du Tribunal fédéral 2C_171/2007 du 19 octobre 2007 consid. 5.1 ; Florence AUBRY GIRARDIN, in Commentaire de la LTF, 2014, n. 33 ad art. 34 de la loi fédérale sur le Tribunal fédéral du 17 juin 2005 - LTF - RS 173.110).</w:t>
      </w:r>
    </w:p>
    <w:p>
      <w:r>
        <w:t>c. Les art. 15 et 15A LPA sont calqués sur les art. 47 ss du code de procédure civile du 19 décembre 2008 (CPC - RS 272 ; ATA/58/2014 du 4 février 2014 consid. 7 ; ATA/578/2013 du 3 septembre 2013 consid. 7c, avec référence au MGC 2008-2009/VIII A 10995), ces derniers, tout comme les art. 56 ss du code de procédure pénale suisse du 5 octobre 2007 (CPP - RS 312.0), avec lesquels ils sont harmonisés, étant calqués, à l'exception de quelques points mineurs, sur les art. 34 ss LTF, si bien que la doctrine, et la jurisprudence rendue à leur sujet, valent en principe de manière analogique (arrêt du Tribunal fédéral 6B_621/2011 du 19 décembre 2011 consid. 2.2 ; Message du Conseil fédéral du 28 juin 2006 relatif au code de procédure civile suisse, FF 2006 6841 ss, spéc. 6887 ad art. 45 [devenu l'art. 47 CPC] ; Message du Conseil fédéral sur l'unification de la procédure pénale, FF 2005 1125 s.).</w:t>
      </w:r>
    </w:p>
    <w:p>
      <w:r>
        <w:t>d. Le Tribunal fédéral a rappelé que la procédure de récusation n’a pas pour objet de permettre aux parties de contester la manière dont est menée l’instruction et de remettre en cause les différentes décisions incidentes prises par la direction de la procédure. Même dans ce cadre, seules des circonstances exceptionnelles permettent de justifier une récusation, lorsque, par son attitude et ses déclarations précédentes, le magistrat a clairement fait apparaître qu'il ne sera pas capable de revoir sa position et de reprendre la cause en faisant abstraction des opinions qu'il a précédemment émises (ATF 138 IV 142 consid. 2.3). D’autres motifs doivent</w:t>
      </w:r>
    </w:p>
    <w:p>
      <w:r>
        <w:t>- 11/14 - A/2359/2017 donc exister pour admettre que le juge ne serait plus en mesure d'adopter une autre position, de sorte que le procès ne demeure plus ouvert (ATF 133 I 1 consid. 6.2 ; arrêt du Tribunal fédéral 2C_755/2008 du 7 janvier 2009 consid. 3.2, in SJ 2009 I 233).</w:t>
      </w:r>
    </w:p>
    <w:p>
      <w:r>
        <w:t>e. L'intérêt personnel au sens de l'art. 15 al. 1 let. a LPA – dès lors que c'est l'art. 15 LPA qui est applicable au cas d'espèce, l'enquêteur administratif n'officiant pas comme juge, ni n'appartenant à une juridiction administrative au sens de l'art. 6 LPA – peut être direct, comme lorsque l'intéressé est à la fois « juge et partie », ou encore indirect, ce qui est le cas lorsque l'issue de la cause est susceptible de déployer des effets réflexes positifs ou négatifs sur la situation personnelle ou juridique de la personne dont la récusation est demandée (Marcel Alexander NIGGLI/Peter UEBERSAX/Hans WIPRÄCHTIGER, Bundesgerichts- gesetz – Basler Kommentar, 2ème éd., 2011, n. 8 ad art. 34) ; encore faut-il que les effets en question soient suffisamment marqués pour justifier le départ de la personne mise en cause. 6)</w:t>
      </w:r>
    </w:p>
    <w:p>
      <w:r>
        <w:t>Selon la jurisprudence constante, la chambre administrative est habilitée à revoir, à titre préjudiciel et à l’occasion de l’examen d’un cas concret, la conformité des normes de droit cantonal au droit fédéral (ATA/739/2016 du</w:t>
      </w:r>
    </w:p>
    <w:p>
      <w:r>
        <w:rPr>
          <w:b/>
        </w:rPr>
        <w:t>E. 30</w:t>
      </w:r>
    </w:p>
    <w:p>
      <w:r>
        <w:t>août 2016 consid. 2 ; ATA/10/2015 du 6 janvier 2015 ; Andreas AUER/Giorgio MALINVERNI/Michel HOTTELIER, Droit constitutionnel suisse, vol. 1, 3ème éd., 2013, p. 786 n. 2337 ss ; Jean-Marc VERNIORY, Le contrôle préjudiciel des normes dans la jurisprudence récente de la chambre administrative genevoise, in Andrea GOOD/Bettina PLATIPODIS, Festschrift Andreas Auer, 2013, p. 275-285, p. 279 ss). 7) a. Au niveau fédéral, le principe de la séparation des pouvoirs, implicitement contenu dans la Constitution fédérale, est un droit constitutionnel dont peut se prévaloir le citoyen (ATF 130 I 1 consid. 3.1). Le principe de la séparation des pouvoirs interdit à un organe de l’État d’empiéter sur les compétences d’un autre organe ; en particulier, il interdit au pouvoir exécutif d’édicter des règles de droit, si ce n’est dans le cadre d’une délégation valablement conférée par le législateur (ATF 134 I 322 consid. 2.2 ; 119 Ia 28 consid. 3 ; 118 Ia 305 consid. 1a).</w:t>
      </w:r>
    </w:p>
    <w:p>
      <w:r>
        <w:t>b. Dans le canton de Genève, l’art. 2 de la Constitution de la République et canton de Genève du 14 octobre 2012 (Cst-GE - A 2 00) consacre expressément le principe de la séparation des pouvoirs. Le pouvoir législatif incombe au Grand Conseil (art. 80 Cst-GE). Le Conseil d’État est chargé de l’exécution des lois et adopte à cet effet les règlements et arrêtés nécessaires (art. 109 al. 4 Cst-GE). Il est habilité, en vertu de l’art. 109 al. 3 Cst-GE, à adopter des règles d’exécution. À moins d’une délégation expresse, le Conseil d’État ne peut pas poser de nouvelles règles qui restreindraient les droits des administrés ou leur imposeraient des obligations, même si ces règles étaient conformes au but de la loi (ATF 133 II 331 consid. 7.2.2 ; 130 I 140 consid. 5.1 ; 114 Ia 286 consid. 5a ; ATA/168/2008 du</w:t>
      </w:r>
    </w:p>
    <w:p>
      <w:r>
        <w:t>- 12/14 - A/2359/2017 8 avril 2008 consid. 3a ; Andreas AUER/Giorgio MALINVERNI/Michel HOTTELIER, Droit constitutionnel suisse, vol. I, 3ème éd., 2013, p. 542 ; Thierry TANQUEREL, Manuel de droit administratif, 2011, n. 323).</w:t>
      </w:r>
    </w:p>
    <w:p>
      <w:r>
        <w:t>c. Le gouvernement peut édicter des règles de droit soit dans des ordonnances législatives d’exécution, soit dans des ordonnances législatives de substitution fondées sur une délégation législative (ATA/426/2017 du 11 avril 2017 consid. 2c ; ATA/52/2015 du 13 janvier 2015).</w:t>
      </w:r>
    </w:p>
    <w:p>
      <w:r>
        <w:t>Les ordonnances d’exécution concrétisent les règles qui figurent dans la loi en précisant les modalités pratiques de son application, les questions d’organisation et de procédure, ou les termes légaux vagues et imprécis. Elles doivent rester dans le cadre tracé par la loi ; elles ne peuvent contenir que des normes dites secondaires. Une norme secondaire est une règle qui ne déborde pas du cadre de la loi, qui ne fait qu’en préciser certaines dispositions et fixer, lorsque c’est nécessaire, la procédure applicable. Par contre, les ordonnances de substitution fondées sur une délégation législative contiennent des normes dites primaires. Une norme primaire est une règle dont on ne trouve aucune trace dans la loi de base, une règle qui étend ou restreint le champ d’application de cette loi, confère aux particuliers des droits ou leur impose des obligations dont la loi ne fait pas mention. Ces normes primaires doivent toutefois respecter le cadre légal défini par la clause de délégation législative (ATF 134 I 322 consid. 2.4 ; 133 II 331 consid. 7.2.2 ; 132 I 7 consid. 2.2 ; 104 Ib 205 consid. 3b ; ATA/571/2014 du 29 juillet 2014 consid. 6 ; ATA/455/2013 du 30 juillet 2013). 8)</w:t>
      </w:r>
    </w:p>
    <w:p>
      <w:r>
        <w:t>Selon l'art. 38 al. 1 LPol, le chef du département et le commandant peuvent en tout temps ordonner l’ouverture d’une enquête administrative. L'art. 16 al. 1 RGPPol indique quant à lui qu'en cas d’ouverture d’une enquête administrative par le chef du département, celui-ci désigne une personne qui a les compétences requises en qualité d’enquêteur.</w:t>
      </w:r>
    </w:p>
    <w:p>
      <w:r>
        <w:t>La compétence d'ouvrir une enquête administrative étant donnée au chef du département par la base légale formelle que constitue l'art. 38 al. 1 LPol, la précision apportée par l'art. 16 al. 1 RGPPol, selon laquelle c'est aussi le chef du département qui nomme l'enquêteur va de soi, et relève en tout état de cause d'une norme secondaire parfaitement à sa place dans une ordonnance d'exécution.</w:t>
      </w:r>
    </w:p>
    <w:p>
      <w:r>
        <w:t>Le grief d'inconstitutionnalité de l'art. 16 al. 1 RGPPol soulevé par le recourant ne peut dès lors qu'être écarté. 9)</w:t>
      </w:r>
    </w:p>
    <w:p>
      <w:r>
        <w:t>S'agissant des motifs de prévention énumérés par le recourant, le fait que l'enquêteur administratif soit rémunéré par l'État ne pose aucun problème d'indépendance – au contraire, dès lors qu'une rémunération suffisante des fonctionnaires et des juges est généralement perçue comme une garantie d'indépendance et un rempart contre la corruption (voir p. ex. le ch. 54 de la</w:t>
      </w:r>
    </w:p>
    <w:p>
      <w:r>
        <w:t>- 13/14 - A/2359/2017 Rec(2010)12 du Comité des ministres du Conseil de l'Europe sur les juges : indépendance, efficacité et responsabilités, selon lequel la rémunération des juges devrait être à la mesure de leur rôle et de leurs responsabilités, et être de niveau suffisant pour les mettre à l’abri de toute pression visant à influer sur leurs décisions).</w:t>
      </w:r>
    </w:p>
    <w:p>
      <w:r>
        <w:t>Quant au nombre de mandats d'enquête administrative pouvant être confiés à une même personne, il n'est pas fixé par une quelconque norme. L'enquêteur ne retire par ailleurs aucun effet positif direct de l'orientation de son rapport, puisqu'il peut de toute façon percevoir la rémunération proportionnelle au travail effectué. Quant au fait d'être nommé régulièrement comme enquêteur, il ne saurait être perçu comme engendrant des effets réflexes positifs pour la personne concernée suffisants pour être qualifié d'intérêt personnel à l'affaire que dans des circonstances tout à fait exceptionnelles, qui ne peuvent être considérées en l'espèce, en l'absence de tout élément spécifique fourni par le recourant, comme données.</w:t>
      </w:r>
    </w:p>
    <w:p>
      <w:r>
        <w:t>Les griefs du recourant quant à la partialité de l'enquêteur nommé par le département doivent ainsi être écartés. 10) Il s'ensuit que le recours sera rejeté. 11) Le prononcé du présent arrêt rend sans objet la demande de restitution de l'effet suspensif au recours. 12) Vu l'issue du litige, un émolument de CHF 1'000.- sera mis à la charge du recourant, qui succombe (art. 87 al. 1 LPA),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