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ATA/128/2026 vom 3. Februar 2026</w:t>
      </w:r>
    </w:p>
    <w:p>
      <w:r>
        <w:t>GE Cour de justice, 2026-02-03, FR</w:t>
      </w:r>
    </w:p>
    <w:p>
      <w:r>
        <w:rPr>
          <w:b/>
        </w:rPr>
        <w:t xml:space="preserve">Quelle: </w:t>
      </w:r>
      <w:r>
        <w:t>https://mcp.opencaselaw.ch/entscheid/ge_gerichte_ATA_128_2026</w:t>
      </w:r>
    </w:p>
    <w:p>
      <w:r>
        <w:t>FR: GE_GERICHTE ATA/128/2026 du 3 février 2026</w:t>
      </w:r>
    </w:p>
    <w:p>
      <w:r>
        <w:t>IT: GE_GERICHTE ATA/128/2026 del 3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ATA/141/2025 du 4 février 2025 consid. 3.1 et l'arrêt cité).</w:t>
      </w:r>
    </w:p>
    <w:p>
      <w:r>
        <w:t>- 19/27 - A/499/2023</w:t>
      </w:r>
    </w:p>
    <w:p>
      <w:r>
        <w:rPr>
          <w:b/>
        </w:rPr>
        <w:t>E. 3</w:t>
      </w:r>
    </w:p>
    <w:p>
      <w:r>
        <w:t>L'objet du litige consiste à déterminer si l'OCPM était fondé à refuser l’octroi d’une autorisation de séjour à la recourante, de nationalité marocaine, et à lui impartir un délai pour quitter la Suisse.</w:t>
      </w:r>
    </w:p>
    <w:p>
      <w:r>
        <w:rPr>
          <w:b/>
        </w:rPr>
        <w:t>E. 4</w:t>
      </w:r>
    </w:p>
    <w:p>
      <w:r>
        <w:t>La recourante sollicite son audition ainsi que celle de six témoins. Elle se plaint par ailleurs d’une violation de son droit d’être entendue par le TAPI qui a refusé cette offre de preuves et lui fait grief d’avoir mal établi les faits.</w:t>
      </w:r>
    </w:p>
    <w:p>
      <w:r>
        <w:rPr>
          <w:b/>
        </w:rPr>
        <w:t>E. 4.1</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Ce moyen doit par conséquent être examiné en premier lieu (ATF 138 I 232 consid. 5.1 ; arrêt du Tribunal fédéral 5A_935/2012 du 11 juin 2013 consid. 4.1).</w:t>
      </w:r>
    </w:p>
    <w:p>
      <w:r>
        <w:rPr>
          <w:b/>
        </w:rPr>
        <w:t>E. 4.2</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4.3</w:t>
      </w:r>
    </w:p>
    <w:p>
      <w:r>
        <w:t>et</w:t>
      </w:r>
    </w:p>
    <w:p>
      <w:r>
        <w:rPr>
          <w:b/>
        </w:rPr>
        <w:t>E. 4.4</w:t>
      </w:r>
    </w:p>
    <w:p>
      <w:r>
        <w:t>; 2C_423/2020 du 26 août 2020 consid. 2.4 et 5.1 ; 2C_776/2019 du 14 avril 2020 consid. 5.5 ; 2C_915/2019 du 13 mars 2020 consid. 5.9 ; 2C_922/2019 du 26 février 2020 consid. 5.5.3 ; 2C_693/2019 précité consid. 5). Dans ces conditions, point n'est besoin d'examiner si d'autres raisons personnelles majeures sont données, en particulier en examinant les critères énumérés à l'art. 31 al. 1 OASA à propos des cas individuels d'extrême gravité (ATA/1114/2024 du 29 avril 2024 consid. 2.11).</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- 20/27 - A/499/2023 traités internationaux conclus par la Suisse (art. 1 et 2 LEI), ce qui est le cas pour les ressortissants du Maroc (ATA/1094/2024 du 17 septembre 2024 consid. 5).</w:t>
      </w:r>
    </w:p>
    <w:p>
      <w:r>
        <w:rPr>
          <w:b/>
        </w:rPr>
        <w:t>E. 5.1</w:t>
      </w:r>
    </w:p>
    <w:p>
      <w:r>
        <w:t>Le conjoint étranger du titulaire d’une autorisation d’établissement ainsi que ses enfants célibataires étrangers de moins de 18 ans ont droit à l’octroi d’une autorisation de séjour et à la prolongation de sa durée de validité à la condition notamment de vivre en ménage commun avec lui (art. 43 al. 1 let. a LEI).</w:t>
      </w:r>
    </w:p>
    <w:p>
      <w:r>
        <w:rPr>
          <w:b/>
        </w:rPr>
        <w:t>E. 5.2</w:t>
      </w:r>
    </w:p>
    <w:p>
      <w:r>
        <w:t>Depuis le 1er janvier 2025, l'art. 50 al. 1 LEI prévoit qu’après la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si l'union conjugale a duré au moins trois ans et que les critères d'intégration définis à l'art. 58a LEI sont remplis (let. a), ou la poursuite du séjour en Suisse s'impose pour des raisons personnelles majeures (let. b). L'art. 50 al. 2 LEI donne trois exemples de raisons personnelles majeures : le conjoint ou les enfants sont victimes de violence domestique (let. a), le mariage a été conclu en violation de la libre volonté d'un des conjoints (let. b) ou la réintégration sociale dans le pays de provenance semble fortement compromise (let. c). Par rapport à l'ancien droit, le nouvel art. 50 LEI élargit d'une part le champ d'application personnel du droit à un titre de séjour après dissolution de l'union conjugale aux conjoints de titulaires d'une autorisation de séjour, d'une autorisation de courte durée ou d'une admission provisoire, ainsi qu'aux concubins dans certaines circonstances (art. 50 al. 4 LEI). Il vise, d'autre part, à concrétiser la notion de violence domestique – qui remplace celle de violence conjugale –, afin d'assurer une plus grande protection aux victimes de violence (Rapport du 12 octobre 2023 de la Commission des institutions politiques du Conseil national, FF 2023 2418, p. 2 à 4). À cette fin, l'art. 50 al. 2 let. a ch. 1 à 6 LEI comporte désormais une liste, non exhaustive, d'indices d'une situation de violence domestique, que les autorités doivent prendre en considération (cf. déjà en partie sous l'ancien droit, les art. 77 al. 6 OASA [RO 2007 5497] et 77 al. 6bis OASA [RO 2018 3173]). L'art. 50 al. 3 LEI est inchangé pour le surplus. Un al. 4 a été rajouté prévoyant que les al. 1 à 3 de l’art. 50 LEI devaient s’appliquer par analogie aux concubins qui, en vertu de l’art. 30 al. 1 let. b LEI avaient obtenu une autorisation de séjour pour rester avec leur partenaire en raison d’un cas individuel d’extrême gravité.</w:t>
      </w:r>
    </w:p>
    <w:p>
      <w:r>
        <w:rPr>
          <w:b/>
        </w:rPr>
        <w:t>E. 5.3</w:t>
      </w:r>
    </w:p>
    <w:p>
      <w:r>
        <w:t>L’art. 126g LEI, disposition transitoire relative à la modification de l’art. 50 LEI, prévoit que le nouveau droit est applicable aux demandes déposées en vertu de de cet article avant son entrée en vigueur. En effet, puisque le nouveau droit est plus favorable aux personnes concernées (victimes de violence</w:t>
      </w:r>
    </w:p>
    <w:p>
      <w:r>
        <w:t>- 21/27 - A/499/2023 domestique), il doit donc s’appliquer aux demandes en cours au moment de l’entrée en vigueur des nouvelles dispositions (FF 2023 2418). En l’espèce, comme l’a retenu le TAPI, le nouveau droit est applicable, ce que les parties ne contestent pas.</w:t>
      </w:r>
    </w:p>
    <w:p>
      <w:r>
        <w:rPr>
          <w:b/>
        </w:rPr>
        <w:t>E. 5.4</w:t>
      </w:r>
    </w:p>
    <w:p>
      <w:r>
        <w:t>L'art. 50 al. 1 let. b et al. 2 LEI vise à régler les situations qui échappent aux dispositions de l'art. 50 al. 1 let. a LEI.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2C_401/2018 du 17 septembre 2018 consid. 4.1).</w:t>
      </w:r>
    </w:p>
    <w:p>
      <w:r>
        <w:rPr>
          <w:b/>
        </w:rPr>
        <w:t>E. 5.5</w:t>
      </w:r>
    </w:p>
    <w:p>
      <w:r>
        <w:t>S'agissant de la violence conjugale, la personne admise dans le cadre du regroupement familial doit établir qu'on ne peut plus exiger d'elle qu'elle poursuive l'union conjugale, parce que cette situation risque de la perturber gravement (arrêts du Tribunal fédéral 2C_831/2018 du 27 mai 2019 consid. 4.2.1 et 2C_12/2018 du 28 novembre 2018 consid. 3.1). La violence conjugale doit par conséquent revêtir une certaine intensité (ATF 138 II 393 consid. 3.1). La notion de violence conjugale inclut également la violence psychologique. À l'instar de violences physiques, seuls des actes de violence psychique d'une intensité particulière peuvent justifier l'application de l'art. 50 al. 1 let. b LEI (arrêts du Tribunal fédéral 2C_831/2018 du 27 mai 2019 consid. 4.2.1 et 2C_361/2018 du 21 janvier 2019 consid. 4.1). Le fait d'exercer des contraintes psychiques d'une certaine constance et intensité peut fonder un cas de rigueur après dissolution de la communauté conjugale, au sens de l'art. 50 al. 1 let. b et al. 2 LEI (ATF 138 II 229 consid. 3.2.2 ; arrêt du Tribunal fédéral 2C_12/2018 du 28 novembre 2018 consid. 3.1). À titre d'exemple, le Tribunal fédéral a considéré qu'il n'y avait pas lieu d'appliquer l'art. 50 al. 1 let. b et al. 2 LEI dans un cas où il était établi que l'épouse du recourant avait proféré à son encontre des cris et l'avait giflé une fois (ATF 136 II 1 ; arrêt du Tribunal fédéral 2C_361/2018 du 21 janvier 2019 consid. 4.1) et dans un autre où la recourante avait allégué avoir reçu une gifle au cours d'une dispute et avoir été chassée du domicile conjugal (arrêt du Tribunal fédéral 2C_358/2009 du</w:t>
      </w:r>
    </w:p>
    <w:p>
      <w:r>
        <w:rPr>
          <w:b/>
        </w:rPr>
        <w:t>E. 5.6</w:t>
      </w:r>
    </w:p>
    <w:p>
      <w:r>
        <w:t>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(arrêts du Tribunal fédéral 2C_777/2015 du 26 mai 2016 consid. 3.2, non publié in ATF 142 I 152 ; 2C_401/2018 du 17 septembre 2018 consid. 4.3 ; 2C_1085/2017 du 22 mai 2018 consid. 3.3). La personne étrangère qui se prétend victime de violences conjugales sous l'angle de l'art. 50 al. 1 let. b et al. 2 LEI est soumise à un devoir de coopération accru (art. 90 LEI ; arrêt du Tribunal fédéral 2C_777/2015 du 26 mai 2016 consid. 3.3, non publié in ATF 142 I 152).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(arrêts du Tribunal fédéral 2C_259/2024 du 15 octobre 2024 consid. 3.2 ; 2C_47/2023 du 31 mars 2023 consid. 3.4 ; 2C_96/2022 du 16 août 2022 consid. 3.4).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2C_429/2024 du 19 février 2025 consid. 4.4 ; 2C_643/2023 du 25 septembre 2024 consid. 4.2 ; 2C_201/2023 du 9 juillet 2024 consid. 5.2 ; 2D_49/2021 du 29 mars 2022 consid. 5.3).</w:t>
      </w:r>
    </w:p>
    <w:p>
      <w:r>
        <w:rPr>
          <w:b/>
        </w:rPr>
        <w:t>E. 5.7</w:t>
      </w:r>
    </w:p>
    <w:p>
      <w:r>
        <w:t>La question de savoir lequel des époux a le premier décidé de la séparation ne joue aucun rôle. Il suffit qu’il y ait un lien suffisamment étroit entre la violence</w:t>
      </w:r>
    </w:p>
    <w:p>
      <w:r>
        <w:t>- 23/27 - A/499/2023 conjugale et la séparation (arrêt du Tribunal fédéral 2C_1004/2020 du 23 mars 2021 consid. 4.2.3).</w:t>
      </w:r>
    </w:p>
    <w:p>
      <w:r>
        <w:rPr>
          <w:b/>
        </w:rPr>
        <w:t>E. 5.8</w:t>
      </w:r>
    </w:p>
    <w:p>
      <w:r>
        <w:t>Lorsqu'il admet l'existence de violence conjugale au sens de l'art. 50 al. 2 LEI, le Tribunal fédéral octroie ou prolonge l'autorisation de séjour ou approuve un tel octroi ou une telle prolongation (arrêts du Tribunal fédéral 2C_465/2023 du 6 mars 2024 consid. 4.4.5 ; 2C_1004/2020 du 23 mars 2021 consid.</w:t>
      </w:r>
    </w:p>
    <w:p>
      <w:r>
        <w:rPr>
          <w:b/>
        </w:rPr>
        <w:t>E. 5.9</w:t>
      </w:r>
    </w:p>
    <w:p>
      <w:r>
        <w:t>Les autorités compétentes peuvent demander des preuves. En cas de violence domestique, les circonstances particulières doivent être examinées de près, au cas par cas, même si le séjour a été bref. Les intérêts personnels de la victime à rester en Suisse doivent être pris en considération de manière appropriée (SEM, Directives et commentaires, Domaine des étrangers, 2013 [ci‑après : directives LEI], état au 1er janvier 2026, n° 6.15.3.3). La liste des indices de violence domestique de l’art. 50 al. 2 let. a ch. 1 à 6 LEI n’est pas exhaustive. Tous les indices susceptibles de rendre vraisemblable l’existence d’une violence domestique doivent être pris en compte (directives LEI, n° 6.15.3.3). 6. En l’espèce, le TAPI a procédé à une analyse des pièces versées au dossier, qu’il s’agisse des différentes attestations produites par des associations, des certificats médicaux ou des pièces issues des procédures tant civiles que pénales. Il a de même distingué les différents types de violences. Il a ainsi retenu que la relation des époux avait été conflictuelle dès ses débuts. Il a traité les trois épisodes de violence physique évoqués par la recourante, soit des 26 octobre 2019, 22 février et 10 août 2020, concluant que, même à les admettre, ils n’étaient pas suffisants, que ce soit sous l’angle de l’intensité ou du caractère systématique des agressions. Il a ensuite abordé les trois relations sexuelles non consenties invoquées par la recourante, se ralliant à l’appréciation faite par les autorités pénales et retenant que l’intéressée n’avait pas établi à satisfaction de droit en avoir été victime. Analysant les violences psychologiques, il a retenu que le MP et la CPAR avaient considéré qu’une mise en accusation n’était pas justifiée. Détaillant le contenu des attestations établies respectivement par G______, le Dr R______, le centre LAVI, l’association H______, le Dr E______ et la Dre P______, le TAPI a relevé que, sans remettre en doute les diagnostics qui étaient posés ni les symptômes constatés, l’analyse des causes des troubles était uniquement fondée sur l’exposé par la recourante des événements qu’elle aurait vécus et qu’aucun témoignage ne venait corroborer alors même qu’elle alléguait</w:t>
      </w:r>
    </w:p>
    <w:p>
      <w:r>
        <w:t>- 24/27 - A/499/2023 avoir subi des violences psychologiques incessantes de la part de son époux durant plusieurs années. Ces documents ne suffisaient pas, à eux seuls, pour démontrer l’existence de violences psychologiques répétées. Enfin, le TAPI a retenu que l’intéressée n’avait pas démontré avoir été victime de contraintes économiques systématiques atteignant le degré de gravité exigé par la jurisprudence en la matière. Ainsi, tout en retenant que la relation des époux était tumultueuse dès le début de leur union et qu’un climat hautement conflictuel s’était rapidement instauré au sein du couple, le TAPI a indiqué ne pas disposer d’un faisceau d’indices convergents suffisamment crédibles pour conclure à l’existence de violence conjugale physique ou psychique d’une intensité de nature à justifier une application de l’art. 50 al. 2 LEI. Et de conclure que, si l’on ne pouvait certes exclure l’existence de certains actes de violence physique ou psychique réciproque commis dans un tel contexte, les éléments contenus dans le dossier ne permettaient pas de conclure à l’existence de maltraitance systématique exercée unilatéralement par l’époux, susceptibles de conduire à l’application de la disposition précitée. Il ressort de ce qui précède, d’une part, que le TAPI ne conteste pas que des violences semblent s’être produites entre les époux. Il ne conteste de même pas l’existence d’indices convergents. Toutefois, à plusieurs reprises dans ses considérants, le TAPI a reproché à la recourante de ne pas avoir apporté la preuve notamment de leur intensité et de leur caractère systématique. Or, il avait préalablement considéré que les attestations et les certificats médicaux établis par les praticiens étaient suffisants en termes de preuves et avait refusé à l’intéressée l’audition des six témoins proposés. Force est dès lors de constater que le droit d’être entendue de l’intéressée a été violé et les faits incomplètement établis. Il convient effectivement que le TAPI procède à l’audition des personnes à même de compléter l’état de fait ou de le préciser notamment par les constats effectués par les différents professionnels consultés par la recourante, sous les aspects tant médicaux, somatiques et psychologiques, que sociaux ou économiques. L’examen devra s’étendre aux faits antérieurs à la conclusion de l’union conjugale, au vu notamment des messages WhatsApp entre les futurs époux et de l’attestation de l’association H______ qui a pris en charge l’intéressée avant la conclusion de l’union conjugale. Le contexte de cette intervention devra être établi et les éventuelles conséquences juridiques analysées. Le degré de preuve requis devra être développé et minutieusement appliqué et les conséquences juridiques d’un même fait, en procédures pénale, civile et administrative clairement analysées et distinguées. En application de la jurisprudence précitée, il appartient en conséquence au TAPI notamment d’examiner de près, dans le cas précis, toutes les circonstances et de prendre en compte tous les indices susceptibles de rendre vraisemblable l’existence d’une violence domestique.</w:t>
      </w:r>
    </w:p>
    <w:p>
      <w:r>
        <w:t>- 25/27 - A/499/2023 À ce stade, il n’appartient pas à la chambre de céans, juridiction de recours appelée notamment à examiner le grief de constatation inexacte ou incomplète des faits pertinents, de se substituer à l’instance précédente et de procéder à l’instruction nécessaire à l’établissement desdits faits (ATA/1368/2017 du 10 octobre 2017 et les références citées). Le recours sera en conséquence partiellement admis, le jugement du TAPI sera annulé et le dossier lui sera renvoyé pour instruction complémentaire, afin aussi de ne pas violer le double degré de juridiction. 7. Vu l’issue du litige, aucun émolument ne sera perçu (art. 87 al. 1 LPA). Une indemnité de procédure de CHF 1'000.- sera allouée à la recourante à la charge de l’État de Genève (Pouvoir judiciaire) (art. 87 al. 2 LPA).</w:t>
      </w:r>
    </w:p>
    <w:p>
      <w:r>
        <w:t>* * * * *</w:t>
      </w:r>
    </w:p>
    <w:p>
      <w:r>
        <w:rPr>
          <w:b/>
        </w:rPr>
        <w:t>E. 10</w:t>
      </w:r>
    </w:p>
    <w:p>
      <w:r>
        <w:t>décembre 2009 consid. 5.2 ; cf. arrêt 2C_982/2010 du 3 mai 2011 consid. 3.3). Il en a été de même dans le cas d'un recourant qui affirmait avoir été une fois enfermé dehors par son épouse qui avait fait changer le cylindre de la porte d'entrée (arrêts du Tribunal fédéral 2C_377/2010 du 28 juillet 2010 consid. 4.3 ; 2C_982/2010 du 3 mai 2011 consid. 3.3). En revanche, le Tribunal fédéral a considéré qu'un acte de violence isolé, mais particulièrement grave, pouvait à lui seul conduire à admettre l'existence de raisons personnelles majeures au sens de l'art. 50 al. 1 let. b et al. 2 LEI (arrêts du Tribunal fédéral 2C_12/2018 du 28 novembre 2018 consid. 3.1 ; 2C_1085/2017 du 22 mai 2018 consid. 3.1 ; 2C_982/2010 du 3 mai 2011 consid. 3.3). Une dispute au cours de laquelle une</w:t>
      </w:r>
    </w:p>
    <w:p>
      <w:r>
        <w:t>- 22/27 - A/499/2023 femme reçoit une gifle, est jetée au sol par son mari, puis saisie par les cheveux, ce qui provoque diverses abrasions, ainsi que des tuméfactions dûment constatées par constat médical et une attestation succincte d'une psychothérapeute, valant à leur auteur une condamnation à une peine pécuniaire ferme de 60 jours-amende pour lésions corporelles qualifiées commises sur son épouse, laquelle a quitté le domicile conjugal et n'y est jamais retournée, a été considéré par le Tribunal fédéral comme revêtant un degré de gravité et d'intensité suffisant pour être qualifiées de violences conjugales au sens de l'art. 50 al. 1 let. b et al. 2 LEI et la prolongation de l'autorisation de séjour de la recourante approuvée (arrêt du Tribunal fédéral 2C_693/2019 du 21 janvier 2020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