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ATA/1289/2020 vom 15. Dezember 2020</w:t>
      </w:r>
    </w:p>
    <w:p>
      <w:r>
        <w:t>GE Cour de justice, 2020-12-15, FR</w:t>
      </w:r>
    </w:p>
    <w:p>
      <w:r>
        <w:rPr>
          <w:b/>
        </w:rPr>
        <w:t xml:space="preserve">Quelle: </w:t>
      </w:r>
      <w:r>
        <w:t>https://mcp.opencaselaw.ch/entscheid/ge_gerichte_ATA_1289_2020</w:t>
      </w:r>
    </w:p>
    <w:p>
      <w:r>
        <w:t>FR: GE_GERICHTE ATA/1289/2020 du 15 décembre 2020</w:t>
      </w:r>
    </w:p>
    <w:p>
      <w:r>
        <w:t>IT: GE_GERICHTE ATA/1289/2020 del 15 dicembre 2020</w:t>
      </w:r>
    </w:p>
    <w:p>
      <w:pPr>
        <w:pStyle w:val="Heading2"/>
      </w:pPr>
      <w:r>
        <w:t>Erwägungen</w:t>
      </w:r>
    </w:p>
    <w:p>
      <w:r>
        <w:rPr>
          <w:b/>
        </w:rPr>
        <w:t>E. 12</w:t>
      </w:r>
    </w:p>
    <w:p>
      <w:r>
        <w:t>septembre 1985 - LPA - E 5 10).</w:t>
      </w:r>
    </w:p>
    <w:p>
      <w:r>
        <w:t>- 9/16 - A/3397/2020</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(art. 87 al. 4 LPA).</w:t>
      </w:r>
    </w:p>
    <w:p>
      <w:r>
        <w:t>Adressée en temps utile à la chambre de céans, la présente réclamation est recevable. 2)</w:t>
      </w:r>
    </w:p>
    <w:p>
      <w:r>
        <w:t>La recourante sollicite préalablement une audience publique.</w:t>
      </w:r>
    </w:p>
    <w:p>
      <w:r>
        <w:t>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w:t>
      </w:r>
    </w:p>
    <w:p>
      <w:r>
        <w:t>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w:t>
      </w:r>
    </w:p>
    <w:p>
      <w:r>
        <w:t>Pour être en présence d'un droit ou d'une obligation de caractère civil au sens de l'art. 6 § 1 CEDH, il faut qu'il existe une « prétention », un « droit »</w:t>
      </w:r>
    </w:p>
    <w:p>
      <w:r>
        <w:t>- 10/16 - A/3397/2020 découlant du système légal interne au sens large (FROWEIN/PEUKERT, EMRK- Kommentar, 3ème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w:t>
      </w:r>
    </w:p>
    <w:p>
      <w:r>
        <w:t>b. En l’absence d’un droit à l’indemnité, au vu du pouvoir discrétionnaire de la chambre de céans en la matière (art. 87 al. 2 LPA), et compte tenu de l’objet du litige soit exclusivement la quotité de l’indemnité de procédure due à la recourante,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b. La juridiction saisie dispose d’un large pouvoir d’appréciation également quant à la quotité de l’indemnité allouée et, de jurisprudence constante, celle-ci ne constitue qu’une participation aux honoraires d’avocat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w:t>
      </w:r>
    </w:p>
    <w:p>
      <w:r>
        <w:t>Dans un premier grief, la recourante se plaint d’un défaut de motivation de l’arrêt sur la question du montant de l’indemnité de procédure allouée.</w:t>
      </w:r>
    </w:p>
    <w:p>
      <w:r>
        <w:t>Selon la jurisprudence du Tribunal fédéral, les décisions des tribunaux en matière de frais et dépens n’ont pas à être motivées, l’autorité restant néanmoins liée par le principe général de l’interdiction de l’arbitraire (ATF 114 Ia 332 consid. 2b ; 111 Ia 1).</w:t>
      </w:r>
    </w:p>
    <w:p>
      <w:r>
        <w:t>En l’espèce, l’arrêt de la chambre administrative du 22 septembre 2020 relevait que le montant de l’indemnité tenait compte en particulier de l’acte de</w:t>
      </w:r>
    </w:p>
    <w:p>
      <w:r>
        <w:t>- 11/16 - A/3397/2020 recours par lequel la recourante avait repris les arguments précédemment développés par ses mandataires devant la chambre constitutionnelle dans le cadre du contrôle abstrait de l’art. 59 LIP ayant donné lieu à l’ACST/6/2016 précité ainsi que leurs écritures dans les causes pilote. La procédure était restée suspendue de février 2017 à juillet 2020, ce qui n’avait nécessité aucun travail de la part de ses mandataires, et que la recourante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w:t>
      </w:r>
    </w:p>
    <w:p>
      <w:r>
        <w:t>La décision contenait ainsi une motivation suffisante au vu des exigences jurisprudentielles.</w:t>
      </w:r>
    </w:p>
    <w:p>
      <w:r>
        <w:t>Le grief est infondé. 5)</w:t>
      </w:r>
    </w:p>
    <w:p>
      <w:r>
        <w:t>La recourante conteste le montant de l’indemnité.</w:t>
      </w:r>
    </w:p>
    <w:p>
      <w:r>
        <w:t>a. Elle conteste qu’il puisse être tenu compte de causes parallèles.</w:t>
      </w:r>
    </w:p>
    <w:p>
      <w:r>
        <w:t>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w:t>
      </w:r>
    </w:p>
    <w:p>
      <w:r>
        <w:t>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w:t>
      </w:r>
    </w:p>
    <w:p>
      <w:r>
        <w:t>c. En l’espèce, la cause de la recourante s’inscrivait dans un contexte de trente-six procédures identiques, suite à trente-six décisions similaires de la DGEO du même jour. La problématique et les griefs soulevés par les trente-six recourants étaient en conséquence les mêmes.</w:t>
      </w:r>
    </w:p>
    <w:p>
      <w:r>
        <w:t>Seules trois causes ont été instruites, les trente-trois autres étant suspendues à la demande des recourants. C’est en conséquence à juste titre que des décomptes différents ont été établis pour les trois causes pilote et les trente-trois autres. C’est de même à juste titre que le fait que les recourants aient mandaté deux conseils n’a</w:t>
      </w:r>
    </w:p>
    <w:p>
      <w:r>
        <w:t>- 12/16 - A/3397/2020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w:t>
      </w:r>
    </w:p>
    <w:p>
      <w:r>
        <w:t>- 13/16 - A/3397/2020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w:t>
      </w:r>
    </w:p>
    <w:p>
      <w:r>
        <w:t>En conséquence, les heures alléguées ne peuvent être toutes qualifiées de « temps utile » à la procédure au sens de la jurisprudence.</w:t>
      </w:r>
    </w:p>
    <w:p>
      <w:r>
        <w:t>La procédure a abouti à un arrêt rayant la cause du rôle, celle-ci étant devenue sans objet. Il ne peut pas être retenu que la recourante a obtenu gain de cause. Comme l’a mentionné l’arrêt querellé, la recourante a obtenu ce qu'elle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à la recourante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w:t>
      </w:r>
    </w:p>
    <w:p>
      <w:r>
        <w:t>Les écritures s’inscrivent dans un ordre de grandeur habituel pour le recours, mais plutôt courtes pour les autres écritures, leur brièveté étant compensée par leur nombre, légèrement plus élevé qu’usuellement (sept).</w:t>
      </w:r>
    </w:p>
    <w:p>
      <w:r>
        <w:t>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w:t>
      </w:r>
    </w:p>
    <w:p>
      <w:r>
        <w:t>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w:t>
      </w:r>
    </w:p>
    <w:p>
      <w:r>
        <w:t>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w:t>
      </w:r>
    </w:p>
    <w:p>
      <w:r>
        <w:t>- 14/16 - A/3397/2020 des assemblées générales tendent à démontrer le contraire. Par ailleurs, aucune date n’est mentionnée qui permettrait de vérifier l’utilité des démarches alléguées avec l’état d’avancement des procédures pendantes devant la chambre de céans.</w:t>
      </w:r>
    </w:p>
    <w:p>
      <w:r>
        <w:t>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w:t>
      </w:r>
    </w:p>
    <w:p>
      <w:r>
        <w:t>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w:t>
      </w:r>
    </w:p>
    <w:p>
      <w:r>
        <w:t>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w:t>
      </w:r>
    </w:p>
    <w:p>
      <w:r>
        <w:t>Les recourants réclament trois fois CHF 11'146.95, soit CHF 33'440.85 pour les causes pilote, ainsi que trente-trois fois CHF 2'423.- soit CHF 79'959.- pour les causes non pilote, ce qui fait un total de CHF 113'399.85 à la charge de l’État.</w:t>
      </w:r>
    </w:p>
    <w:p>
      <w:r>
        <w:t>Ce montant est douze fois supérieur au plafond prévu par le RFPA.</w:t>
      </w:r>
    </w:p>
    <w:p>
      <w:r>
        <w:t>Par ailleurs, le montant réclamé pour une seule cause pilote, en CHF 11'146.95, dépasse déjà le plafond précité.</w:t>
      </w:r>
    </w:p>
    <w:p>
      <w:r>
        <w:t>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w:t>
      </w:r>
    </w:p>
    <w:p>
      <w:r>
        <w:t>- 15/16 - A/3397/2020 impliqué le remboursement de trente-six fois CHF 800.- perçus au titre d’avance de frais dans chaque dossier, soit un total de CHF 28'800.-.</w:t>
      </w:r>
    </w:p>
    <w:p>
      <w:r>
        <w:t>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w:t>
      </w:r>
    </w:p>
    <w:p>
      <w:r>
        <w:t>Aucun émolument ne sera perçu dans la présente cause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