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ATA/1287/2024 vom 5. November 2024</w:t>
      </w:r>
    </w:p>
    <w:p>
      <w:r>
        <w:t>GE Cour de justice, 2024-11-05, FR</w:t>
      </w:r>
    </w:p>
    <w:p>
      <w:r>
        <w:rPr>
          <w:b/>
        </w:rPr>
        <w:t xml:space="preserve">Quelle: </w:t>
      </w:r>
      <w:r>
        <w:t>https://mcp.opencaselaw.ch/entscheid/ge_gerichte_ATA_1287_2024</w:t>
      </w:r>
    </w:p>
    <w:p>
      <w:r>
        <w:t>FR: GE_GERICHTE ATA/1287/2024 du 5 novembre 2024</w:t>
      </w:r>
    </w:p>
    <w:p>
      <w:r>
        <w:t>IT: GE_GERICHTE ATA/1287/2024 del 5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3</w:t>
      </w:r>
    </w:p>
    <w:p>
      <w:r>
        <w:t>La prescription de la poursuite disciplinaire est une question que la chambre de céans examine d’office (ATA/1300/2021 du 30 novembre 2021 consid. 4).</w:t>
      </w:r>
    </w:p>
    <w:p>
      <w:r>
        <w:rPr>
          <w:b/>
        </w:rPr>
        <w:t>E. 3.1</w:t>
      </w:r>
    </w:p>
    <w:p>
      <w:r>
        <w:t>Selon l’art. 46 de la loi fédérale sur les professions médicales universitaires du 23 juin 2006 (loi sur les professions médicales, LPMéd - RS 811.11),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Il s’agit là d’un délai de prescription absolue. Le moment auquel l’auteur a exercé l’activité qui lui est reprochée détermine le point de départ de la prescription. Lorsque ce délai est atteint en cours de procédure, la prescription entraîne l’extinction de la poursuite (Yves DONZALLAZ, Traité de droit médical, vol. II, 2021, n. 5824 et 5831, p. 2783 ss).</w:t>
      </w:r>
    </w:p>
    <w:p>
      <w:r>
        <w:t>- 6/8 - A/2537/2024 Le délai absolu ne peut pas être interrompu (arrêt du Tribunal fédéral du 8 décembre 2021 2C_907/2021 consid. 5 ; Yves DONZALLAZ, op. cit., 2021, n. 5825, p. 2784).</w:t>
      </w:r>
    </w:p>
    <w:p>
      <w:r>
        <w:rPr>
          <w:b/>
        </w:rPr>
        <w:t>E. 3.2</w:t>
      </w:r>
    </w:p>
    <w:p>
      <w:r>
        <w:t>Est litigieux le dies a quo du délai de prescription. Il n’est pas contesté que le délai de prescription absolue est atteint pour les faits qui se seraient déroulés le 20 février 2014. Seul reste litigieux le grief d’une « non prise en charge correcte dès le début », que le recourant situe entre le 20 février 2014 et le 25 septembre 2018. La commission a relevé qu’elle n’avait pas été saisie de cette problématique. Il ressort cependant de la plainte initiale du patient qu’il se plaignait de l’« ampleur des affections médicales dont [il avait été] l’objet ; ainsi que de la non prise en charge correcte dès le début – ce qui a[vait] été constaté par le Dr C______ dans son courrier du 17 février 2022 – de l’aggravation de [s]on état général. Ceci jusqu’à ce qu’[il] soi[t] enfin pris en charge convenablement grâce à une intervention chirurgicale réalisée aux HUG ». Le Dr C______ fait mention dans son rapport de consultation du 17 février 2022, sous diagnostic, d’une « atteinte radiculaire C5-C6 à D sur discopathie, déficitaire, sur trauma cervical en février 2014 avec chronicisation post-retard de prise en charge diagnostique et thérapeutique ». Dans ces conditions, c’est à tort que la commission a considéré que le recourant ne s’était pas plaint de manquements en lien avec la prise en charge du médecin, postérieurement au 20 février 2014. La commission ne conteste pas ne pas avoir examiné cette problématique, laquelle peut être pertinente dans l’analyse du dies a quo de la prescription. L’analyse à laquelle la commission a procédé dans sa décision porte sur le lien de causalité entre les migraines, la parésie de la partie droite du corps ainsi que l’hernie discale cervicale et des autres pathologies avec la manipulation qu’aurait effectuée B______ en février 2014 et non sur la qualité du suivi du praticien. Le recours sera en conséquence partiellement admis, et la cause sera retournée à la commission pour instruction complémentaire sur le second grief fait au praticien et nouvelle décision.</w:t>
      </w:r>
    </w:p>
    <w:p>
      <w:r>
        <w:rPr>
          <w:b/>
        </w:rPr>
        <w:t>E. 4</w:t>
      </w:r>
    </w:p>
    <w:p>
      <w:r>
        <w:t>Vu l’issue du litige, il ne sera pas perçu d’émolument (art. 87 al. 1 LPA), et une indemnité de CHF 800.- sera allouée au recourant qui y a conclu, à la charge de la commission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