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ATA/1282/2022 vom 20. Dezember 2022</w:t>
      </w:r>
    </w:p>
    <w:p>
      <w:r>
        <w:t>GE Cour de justice, 2022-12-20, FR</w:t>
      </w:r>
    </w:p>
    <w:p>
      <w:r>
        <w:rPr>
          <w:b/>
        </w:rPr>
        <w:t xml:space="preserve">Quelle: </w:t>
      </w:r>
      <w:r>
        <w:t>https://mcp.opencaselaw.ch/entscheid/ge_gerichte_ATA_1282_2022</w:t>
      </w:r>
    </w:p>
    <w:p>
      <w:r>
        <w:t>FR: GE_GERICHTE ATA/1282/2022 du 20 décembre 2022</w:t>
      </w:r>
    </w:p>
    <w:p>
      <w:r>
        <w:t>IT: GE_GERICHTE ATA/1282/2022 del 20 dicembre 2022</w:t>
      </w:r>
    </w:p>
    <w:p>
      <w:pPr>
        <w:pStyle w:val="Heading2"/>
      </w:pPr>
      <w:r>
        <w:t>Erwägungen</w:t>
      </w:r>
    </w:p>
    <w:p>
      <w:r>
        <w:rPr>
          <w:b/>
        </w:rPr>
        <w:t>E. 1</w:t>
      </w:r>
    </w:p>
    <w:p>
      <w:r>
        <w:t>LEI, les demandes déposées avant le 1er janvier 2019 sont régies par l’ancien droit. Formatted: Bullets and Numbering Formatted: Bullets and Numbering</w:t>
      </w:r>
    </w:p>
    <w:p>
      <w:r>
        <w:t>- 13/20 - A/2068/2021</w:t>
      </w:r>
    </w:p>
    <w:p>
      <w:r>
        <w:t>b. En l’espèce, la première demande de régularisation temporaire des conditions de séjour du recourant a été déposée le 25 janvier 2008, afin de lui permettre de se défendre dans le cadre d’une procédure d’indemnisation LAVI consécutive à une première agression en janvier 2007. Le 22 novembre 2013, le recourant a informé cette autorité d’une convocation devant l’instance LAVI en lien avec une autre demande en indemnisation à la suite d’une seconde agression dont il avait été victime en juillet 2011. Le 18 février 2016, M. A______ a indiqué à l’OCPM qu’il souhaitait pouvoir rester en Suisse, cas échéant sur une base humanitaire. Le 25 novembre 2019, l’OCPM a requis de sa part, dans le cadre de la réactualisation de son dossier, la transmission de plusieurs documents. Le 16 avril 2021, le recourant, en réponse à un courrier d’intention de l’OCPM de refuser de soumettre son cas au SEM avec un préavis favorable en vue de la délivrance d’un titre de séjour pour cas de rigueur et de prononcer son renvoi, a requis la délivrance d’un tel titre de séjour, eu égard en particulier à sa situation médicale.</w:t>
      </w:r>
    </w:p>
    <w:p>
      <w:r>
        <w:t>Il apparaît ainsi que la demande la plus récente, formellement fondée sur le cas de rigueur, du 18 février 2016, est antérieure à l’entrée en vigueur du nouveau droit. L’ancien droit sera donc appliqué pour trancher le litige, étant précisé que la plupart des dispositions de la LEI sont demeurées identiques. 5.5)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w:t>
      </w:r>
    </w:p>
    <w:p>
      <w:r>
        <w:rPr>
          <w:b/>
        </w:rPr>
        <w:t>E. 3</w:t>
      </w:r>
    </w:p>
    <w:p>
      <w:r>
        <w:t>; ATA/163/2020 du 11 février 2020 consid. 7b).</w:t>
      </w:r>
    </w:p>
    <w:p>
      <w:r>
        <w:t>La question n'est donc pas de savoir s'il est plus facile pour la personne concernée de vivre en Suisse, mais uniquement d'examiner si, en cas de retour Formatted: Bullets and Numbering</w:t>
      </w:r>
    </w:p>
    <w:p>
      <w:r>
        <w:t>- 14/20 - A/2068/2021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(ATA/1087/2022 du 1er novembre 2022 consid. 11a).</w:t>
      </w:r>
    </w:p>
    <w:p>
      <w:r>
        <w:t>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w:t>
      </w:r>
    </w:p>
    <w:p>
      <w:r>
        <w:t>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w:t>
      </w:r>
    </w:p>
    <w:p>
      <w:r>
        <w:t>- 15/20 - A/2068/2021 du Tribunal fédéral 2C_754/2018 du 28 janvier 2019 consid. 7.2 ; 2A_718/2006 du 21 mars 2007 consid. 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 6.6) En l'espèce, le TAPI n'a nullement méconnu le droit ou la pratique administrative en retenant que même si un séjour continu du recourant en Suisse était prouvé depuis 2006, cet élément n'était pas déterminant. Il résulte en effet de la jurisprudence que la durée du séjour d'un étranger doit être relativisée lorsque que, comme c'est le cas du recourant, l'entier de son séjour s'est déroulé dans l'illégalité, ou au bénéfice d'une simple tolérance des autorités de migration. À lui seul, cet élément ne permet donc pas de retenir un cas d'extrême gravité.</w:t>
      </w:r>
    </w:p>
    <w:p>
      <w:r>
        <w:t>Il n'apparaît en outre pas que le recourant se soit créé des attaches particulièrement étroites avec la Suisse au point de rendre étranger son pays d'origine. En effet, il n'est arrivé en Suisse, dans l'hypothèse qui lui est la plus favorable, qu'à l'âge de 21 ans et a donc vécu toute son enfance et son adolescence au Maroc, de sorte que la chambre de céans ne saurait admettre que les années passées en Suisse aient été déterminantes pour la formation de sa personnalité et, partant, pour son intégration socioculturelle.</w:t>
      </w:r>
    </w:p>
    <w:p>
      <w:r>
        <w:t>Par ailleurs, il ne s'est pas investi personnellement, que ce soit dans la vie associative ou dans la culture genevoise, quand bien même les agressions dont il a été victime ont dû avoir un impact sur sa qualité de vie. Il ne peut dès lors être retenu qu'il aurait fait preuve d'une intégration sociale exceptionnelle.</w:t>
      </w:r>
    </w:p>
    <w:p>
      <w:r>
        <w:t>Le recourant ne démontre pas avoir travaillé à un quelconque moment depuis son arrivée en Suisse ni à tout le moins cherché à le faire. Il était entièrement dépendant de l’aide sociale depuis le 1er mars 2009. Nonobstant la prise en charge de tous ses besoins élémentaires, il fait l’objet de poursuites et d’actes de défaut de biens. Il a été condamné pénalement à quatre reprises, pour Formatted: Bullets and Numbering</w:t>
      </w:r>
    </w:p>
    <w:p>
      <w:r>
        <w:t>- 16/20 - A/2068/2021 recel, par deux fois, de même que délit à la LStup et consommation de stupéfiants, outre pour des infractions à la LEI.</w:t>
      </w:r>
    </w:p>
    <w:p>
      <w:r>
        <w:t>S'agissant de ses possibilités de réintégration dans son pays d'origine, le recourant est né au Maroc, où il a vécu son enfance, son adolescence et le début de sa vie d'adulte, et où vivent sa sœur et deux de ses frères. Il ne démontre pas que ces derniers ne pourraient pas lui apporter au quotidien l’aide dont il dit avoir besoin en raison de ses problèmes de santé, ni un toit et de quoi subvenir à ses besoins élémentaires.</w:t>
      </w:r>
    </w:p>
    <w:p>
      <w:r>
        <w:t>Dans ces circonstances, il n'apparaît pas que les difficultés auxquelles il devrait faire face en cas de retour au Maroc seraient pour lui plus graves que pour la moyenne des étrangers, en particulier des ressortissants marocains retournant dans leur pays.</w:t>
      </w:r>
    </w:p>
    <w:p>
      <w:r>
        <w:t>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toutefois pas le cas en l’espèce.</w:t>
      </w:r>
    </w:p>
    <w:p>
      <w:r>
        <w:t>L'autorité intimée était en conséquence fondée à refuser de donner une suite positive à la demande d'autorisation de séjour déposée par le recourant et l'instance précédente à confirmer ledit refus. 7.7)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que dans la mesure où elles pourraient ne plus recevoir les soins Formatted: Bullets and Numbering</w:t>
      </w:r>
    </w:p>
    <w:p>
      <w:r>
        <w:t>- 17/20 - A/2068/2021 essentiels garantissant des conditions minimales d'existence. Par soins essentiels, il faut entendre les soins de médecine générale et d'urgence absolument nécessaires à la garantie de la dignité humaine (arrêt du Tribunal administratif fédéral [ci-après : TAF] E-3320/2016 du 6 juin 2016 et les références citées ; arrêt du TAF E-689/2019 du 30 novembre 2020 ; ATA/1160/2020 du 17 novembre 2020).</w:t>
      </w:r>
    </w:p>
    <w:p>
      <w:r>
        <w:t>b. En l’occurrence, l’OCPM indique être disposé à soumettre le dossier du recourant au SEM afin qu’il se prononce sur la délivrance d’une admission provisoire au sens de l’art. 83 al. 4 LEI, considérant qu’au vu des deniers éléments médicaux, l’exécution du renvoi n’est pas raisonnablement exigible.</w:t>
      </w:r>
    </w:p>
    <w:p>
      <w:r>
        <w:t>Il lui en est donné acte.</w:t>
      </w:r>
    </w:p>
    <w:p>
      <w:r>
        <w:t>Les considérants qui précèdent conduisent à l’admission partielle du recours. 8.8) Vu l'issue du litige, un émolument, réduit, de CHF 200.- sera mis à la charge du recourant qui succombe partiellement (art. 87 al. 1 LPA). Il lui sera alloué une indemnité de procédure de CHF 800.-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