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ATA/1282/2015 vom 1. Dezember 2015</w:t>
      </w:r>
    </w:p>
    <w:p>
      <w:r>
        <w:t>GE Cour de justice, 2015-12-01, FR</w:t>
      </w:r>
    </w:p>
    <w:p>
      <w:r>
        <w:rPr>
          <w:b/>
        </w:rPr>
        <w:t xml:space="preserve">Quelle: </w:t>
      </w:r>
      <w:r>
        <w:t>https://mcp.opencaselaw.ch/entscheid/ge_gerichte_ATA_1282_2015</w:t>
      </w:r>
    </w:p>
    <w:p>
      <w:r>
        <w:t>FR: GE_GERICHTE ATA/1282/2015 du 1 décembre 2015</w:t>
      </w:r>
    </w:p>
    <w:p>
      <w:r>
        <w:t>IT: GE_GERICHTE ATA/1282/2015 del 1 dicembre 2015</w:t>
      </w:r>
    </w:p>
    <w:p>
      <w:pPr>
        <w:pStyle w:val="Heading2"/>
      </w:pPr>
      <w:r>
        <w:t>Regeste</w:t>
      </w:r>
    </w:p>
    <w:p>
      <w:r>
        <w:t>Résumé: Rejet du recours contre une sanction disciplinaire de sept jours de cellule forte pour violence physique envers le personnel de la prison. La décision de punir le recourant est suffisamment motivée et justifiée. Elle doit être considérée comme proportionnée et cohérente par rapport aux précédentes sanctions de, respectivement deux, trois et cinq jours ainsi qu'en raison du refus persistant du détenu de se conformer aux instructions du personnel de la prison. Par ailleurs, le grief portant sur l'illicéité des conditions de détention est irrecevable dans la mesure où il est exorbitant à l'objet du litige tel que défini par la décision attaquée, laquelle concerne exclusivement la sanction disciplinaire infligée au recourant.</w:t>
      </w:r>
    </w:p>
    <w:p>
      <w:pPr>
        <w:pStyle w:val="Heading2"/>
      </w:pPr>
      <w:r>
        <w:t>Erwägungen</w:t>
      </w:r>
    </w:p>
    <w:p>
      <w:r>
        <w:rPr>
          <w:b/>
        </w:rPr>
        <w:t>E. 12</w:t>
      </w:r>
    </w:p>
    <w:p>
      <w:r>
        <w:t>septembre 1985 - LPA - E 5 10).</w:t>
      </w:r>
    </w:p>
    <w:p>
      <w:r>
        <w:t>- 4/8 - A/3474/2015 2) a. À teneur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 ATA/1147/2015 du 27 octobre 2015 et les références citées).</w:t>
      </w:r>
    </w:p>
    <w:p>
      <w:r>
        <w:t>c. Un intérêt digne de protection suppose un intérêt actuel à obtenir l’annulation de la décision attaquée. L’existence d’un intérêt actuel s’apprécie non seulement au moment du dépôt du recours, mais aussi lors du prononcé de la décision sur recours ; s’il s’éteint pendant la procédure, le recours, devenu sans objet, doit être simplement radié du rôle (ATF 135 I 79 consid. 1 ; 128 II 34 consid. 1b ; ATA/1147/2015 déjà cité).</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128 II 34 précité ; ATA/1147/2015 déjà cité).</w:t>
      </w:r>
    </w:p>
    <w:p>
      <w:r>
        <w:t>e. En l'espèce, bien que le recourant ait exécuté la mesure contestée, la situation pourrait se présenter à nouveau, dans la mesure où ce dernier se trouve encore à Champ-Dollon. Dès lors, la chambre administrative renoncera à l'exigence de l'intérêt actuel pour statuer (ATA/1066/2015 du 6 octobre 2015 et la jurisprudence citée). 3)</w:t>
      </w:r>
    </w:p>
    <w:p>
      <w:r>
        <w:t>Il convient préalablement d'examiner l'objet du litige.</w:t>
      </w:r>
    </w:p>
    <w:p>
      <w:r>
        <w:t>a. Selon l'art. 61 LPA, le pouvoir d’examen de la chambre administrative se limite à la violation du droit, y compris l'excès et l'abus du pouvoir d'appréciation (al. 1 let. a). Elle ne peut ainsi pas revoir l'opportunité de la décision litigieuse (al. 2). Elle reste néanmoins tenue au respect des principes et droits constitutionnels, notamment la légalité, la proportionnalité, l’interdiction de l’arbitraire et le droit d’être entendu (ATA/386/2014 du 27 mai 2014 ; ATA/214/2013 du 9 avril 2013 ; ATA/50/2013 du 29 janvier 2013 et les références citées).</w:t>
      </w:r>
    </w:p>
    <w:p>
      <w:r>
        <w:t>b. Peuvent notamment faire l’objet d’un recours les décisions finales (art. 57 let. a LPA). L’acte de recours contient, sous peine d’irrecevabilité, la désignation de la décision attaquée et les conclusions du recourant, ainsi que l’exposé des motifs et l’indication des moyens de preuve (art. 65 al. 1 et 2 LPA). La juridiction</w:t>
      </w:r>
    </w:p>
    <w:p>
      <w:r>
        <w:t>- 5/8 - A/3474/2015 administrative applique le droit d’office et ne peut aller au-delà des conclusions des parties, sans pour autant être liée par les motifs invoqués (art. 69 al. 1 LPA).</w:t>
      </w:r>
    </w:p>
    <w:p>
      <w:r>
        <w:t>c.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 365 ss ; arrêt du Tribunal fédéral 2C_581/2010 du 28 mars 2011 consid. 1.5 ; ATA/902/2015 du 1er septembre 2015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(ATA/902/2015 précité consid. 3b ; ATA/744/2014 du 23 septembre 2014 consid. 2a ; ATA/336/2014 du 13 mai 2014 consid. 4a).</w:t>
      </w:r>
    </w:p>
    <w:p>
      <w:r>
        <w:t>d. En l’espèce, le recours est notamment dirigé contre la décision du</w:t>
      </w:r>
    </w:p>
    <w:p>
      <w:r>
        <w:rPr>
          <w:b/>
        </w:rPr>
        <w:t>E. 15</w:t>
      </w:r>
    </w:p>
    <w:p>
      <w:r>
        <w:t>septembre 2015 du directeur de la prison de placer le recourant sept jours en cellule forte, de sorte que l’objet du litige se limite à la conformité au droit de cette décision.</w:t>
      </w:r>
    </w:p>
    <w:p>
      <w:r>
        <w:t>Le grief portant sur l'illicéité des conditions de détention en exécution de peine est irrecevable dans la mesure où il est exorbitant à l’objet du litige tel que défini par la décision attaquée, laquelle concerne exclusivement la sanction disciplinaire infligée au recourant. De surcroît, un détenu en exécution de peine ne peut recourir contre l'illicéité de ses conditions de détention sans avoir préalablement requis une décision en constatation de cette illicéité auprès du département de la sécurité et de l'économie (arrêt du Tribunal fédéral 6B_573/2015 du 17 juillet 2015 destiné à publication, plus particulièrement consid. 4.3 ; ATA/1145/2015 du 27 octobre 2015 et les références citées). 4)</w:t>
      </w:r>
    </w:p>
    <w:p>
      <w:r>
        <w:t>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 5)</w:t>
      </w:r>
    </w:p>
    <w:p>
      <w:r>
        <w:t>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w:t>
      </w:r>
    </w:p>
    <w:p>
      <w:r>
        <w:t>- 6/8 - A/3474/2015 des tiers (art. 44 RRIP), et n’a d’aucune façon le droit de troubler l’ordre et la tranquillité de la prison (art. 45 let. h RRIP)</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Selon l’art. 47 al. 3 RRIP, le directeur de la prison est compétent pour prononcer les sanctions suivantes : a) suppression de visite pour quinze jours au plus ; b) suppression des promenades collectives ; c) suppression d’achat pour quinze jours au plus ; d) suppression de l’usage des moyens audiovisuels pour quinze jours au plus ; e) privation de travail ; f) placement en cellule forte pour dix jours au plus. 6)</w:t>
      </w:r>
    </w:p>
    <w:p>
      <w:r>
        <w:t>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contrevenant auxdites obligations. Le droit disciplinaire se caractérise d’abord par la nature des obligations qu’il sanctionne, la justification en réside dans la nature réglementaire des relations entre l’administration et les intéressés. Il s’applique aux divers régimes de rapports de puissance publique, et notamment aux personnes incarcérées, étant instauré, dans ce cadre, pour protéger le fonctionnement normal de l’établissement de détention. L’administration dispose d’un éventail de sanctions dont le choix doit respecter le principe de la proportionnalité (Pierre MOOR/Étienne POLTIER, Droit administratif, vol. 2, 2011, p. 142 à 145 et la jurisprudence citée).</w:t>
      </w:r>
    </w:p>
    <w:p>
      <w:r>
        <w:t>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(ATA/972/2015 du 22 septembre 2015 et les références citées).</w:t>
      </w:r>
    </w:p>
    <w:p>
      <w:r>
        <w:t>- 7/8 - A/3474/2015</w:t>
      </w:r>
    </w:p>
    <w:p>
      <w:r>
        <w:t>De jurisprudence constante, la chambre de céans accorde généralement une pleine valeur probante aux constatations figurant dans un rapport de police, établi par des agents assermentés, sauf si des éléments permettent de s’en écarter. Dès lors que les agents de détention sont également des fonctionnaires assermentés (art. 7 LOPP), le même raisonnement peut être appliqué aux rapports établis par ces derniers (ATA/295/2015 du 24 mars 2015). 7)</w:t>
      </w:r>
    </w:p>
    <w:p>
      <w:r>
        <w:t>En l'espèce, le recourant conteste implicitement la sanction qui lui a été infligée. Toutefois, aucun élément du dossier ne permet de remettre en cause le rapport établi par le gardien. Le recourant se limite à indiquer qu'il a été victime d'une agression de la part du personnel et qu'il souffrait de douleurs au niveau du cou, sans donner plus d’explications sur l’incident, ni produire aucun document, notamment médical. Compte tenu de la jurisprudence précitée, la chambre de céans retiendra que l’incident s’est déroulé conformément à ce qui est décrit dans le rapport.</w:t>
      </w:r>
    </w:p>
    <w:p>
      <w:r>
        <w:t>La violence physique envers le personnel étant à proscrire de manière absolue dans un établissement carcéral, la commission de tels faits justifie le prononcé d'une sanction de placement en cellule forte. Dans la mesure où depuis son incarcération, le recourant a persisté dans son refus de se conformer aux instructions du personnel de prison et ce, malgré les trois derniers placements en cellule forte dont il avait fait l'objet en moins de trois mois, la quotité de sept jours doit être considérée comme proportionnée et cohérente par rapport aux précédentes sanctions de, respectivement, deux, trois et cinq jours. Dès lors, le principe de la sanction, de même que sa quotité, sera confirmé. 8)</w:t>
      </w:r>
    </w:p>
    <w:p>
      <w:r>
        <w:t>Compte tenu de ce qui précède, le recours sera rejeté dans la mesure où il est recevable. 9)</w:t>
      </w:r>
    </w:p>
    <w:p>
      <w:r>
        <w:t>Vu la nature du litige,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