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ATA/1280/2018 vom 27. November 2018</w:t>
      </w:r>
    </w:p>
    <w:p>
      <w:r>
        <w:t>GE Cour de justice, 2018-11-27, FR</w:t>
      </w:r>
    </w:p>
    <w:p>
      <w:r>
        <w:rPr>
          <w:b/>
        </w:rPr>
        <w:t xml:space="preserve">Quelle: </w:t>
      </w:r>
      <w:r>
        <w:t>https://mcp.opencaselaw.ch/entscheid/ge_gerichte_ATA_1280_2018</w:t>
      </w:r>
    </w:p>
    <w:p>
      <w:r>
        <w:t>FR: GE_GERICHTE ATA/1280/2018 du 27 novembre 2018</w:t>
      </w:r>
    </w:p>
    <w:p>
      <w:r>
        <w:t>IT: GE_GERICHTE ATA/1280/2018 del 27 novembre 2018</w:t>
      </w:r>
    </w:p>
    <w:p>
      <w:pPr>
        <w:pStyle w:val="Heading2"/>
      </w:pPr>
      <w:r>
        <w:t>Regeste</w:t>
      </w:r>
    </w:p>
    <w:p>
      <w:r>
        <w:t>Résumé: Taxation d'office partielle dans le cadre d'une procédure en rappel et soustraction d'impôt, les recourants n'ayant pas transmis les documents bancaires requis permettant d'établir leur situation financière. Admission partielle du recours en raison de la prescription et rejet de celui-ci pour le surplus.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w:t>
      </w:r>
    </w:p>
    <w:p>
      <w:r>
        <w:t>Le recours peut être formé pour violation du droit, y compris l’excès et l’abus du pouvoir d’appréciation, et pour constatation inexacte ou incomplète des faits pertinents (art. 61 al. 1 let. a et b LPA). Les juridictions administratives n’ont pas compétence pour apprécier l’opportunité de la décision attaquée, sauf exception prévue par la loi (art. 61 al. 2 LPA), non réalisée en l’espèce. 3) a. Le litige concerne les périodes fiscales 2001 à 2007, tant en matière d’ICC que d’IFD, de sorte qu’il convient au préalable d’examiner le droit matériel applicable.</w:t>
      </w:r>
    </w:p>
    <w:p>
      <w:r>
        <w:t>b. De jurisprudence constante, les questions de droit matériel sont résolues en fonction du droit en vigueur lors des périodes fiscales litigieuses (ATA/858/2018 du 21 août 2018 et les références citées).</w:t>
      </w:r>
    </w:p>
    <w:p>
      <w:r>
        <w:t>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c. En l’espèce, le recours concerne les périodes fiscales 2001 à 2007. Dès lors, c’est l’ancien droit (aLIPP-I à aLIPP-V) qui s’applique pour les années 2001 à 2007, ainsi que la LIFD dans sa teneur lors des périodes fiscales en cause, sous réserve de l’amende, pour laquelle le principe de la lex mitior s’applique.</w:t>
      </w:r>
    </w:p>
    <w:p>
      <w:r>
        <w:t>d. Par ailleurs, la question étant traitée de la même manière en droit fédéral et en droit cantonal harmonisé, le présent arrêt traite simultanément des deux impôts, comme l’admet la jurisprudence (ATA/858/2018 précité et les références citées). 4) a. La prescription ou la péremption sont des questions de droit matériel que la chambre administrative, à l’instar du Tribunal fédéral, examine d’office lorsqu’elles jouent en faveur du contribuable (ATF 138 II 169 consid. 3.2 ; arrêt du Tribunal fédéral 2C_760/2017 du 15 juin 2018 consid. 4 ; ATA/858/2018 précité).</w:t>
      </w:r>
    </w:p>
    <w:p>
      <w:r>
        <w:t>- 11/17 - A/2074/2016</w:t>
      </w:r>
    </w:p>
    <w:p>
      <w:r>
        <w:t>b. L’art. 152 al. 1 LIFD prévoit que le droit d’introduire une procédure de rappel d’impôt s’éteint dix ans après la fin de la période fiscale pour laquelle la taxation n’a pas été effectuée, alors qu’elle aurait dû l’être, ou pour laquelle la taxation entrée en force était incomplète. Le droit de procéder au rappel d’impôt s’éteint quinze ans après la fin de la période fiscale à laquelle il se rapporte (art. 152 al. 3 LIFD), ce délai étant un délai de péremption, étant précisé que le fait que l’autorité de taxation ait pu procéder par taxation d’office au cours de la procédure en rappel d’impôt est sans incidence sur le calcul de la prescription (arrêt du Tribunal fédéral 2C_813/2017 du 17 septembre 2018 consid. 5.4.2 et les références citées). Les art. 61 al. 1 et 3 LPFisc et 53 al. 2 et 3 de la loi fédérale sur l’harmonisation des impôts directs des cantons et des communes du</w:t>
      </w:r>
    </w:p>
    <w:p>
      <w:r>
        <w:rPr>
          <w:b/>
        </w:rPr>
        <w:t>E. 14</w:t>
      </w:r>
    </w:p>
    <w:p>
      <w:r>
        <w:t>novembre 2017 et les références citées).</w:t>
      </w:r>
    </w:p>
    <w:p>
      <w:r>
        <w:t>La preuve d’un comportement intentionnel d’une soustraction incombe à l’autorité fiscale et elle est considérée comme apportée lorsqu’il est établi de façon suffisamment sûre que le contribuable était conscient que les informations données étaient incorrectes ou incomplètes. Si tel est le cas, il faut présumer qu’il a volontairement voulu tromper les autorités fiscales, ou du moins qu’il a agi par dol éventuel afin d’obtenir une taxation moins élevée ; cette présomption ne se laisse pas facilement renverser, car l’on peine à imaginer quel autre motif pourrait conduire un contribuable à fournir au fisc des informations qu’il sait incorrectes</w:t>
      </w:r>
    </w:p>
    <w:p>
      <w:r>
        <w:t>- 15/17 - A/2074/2016 ou incomplètes. Cela est d’autant plus vrai que le contribuable peut compter avec la possibilité que l’autorité fiscale s’en tienne à sa déclaration sans l’examiner de manière plus approfondie. En revanche, il agit avec négligence lorsque, par une imprévoyance coupable, il ne se rend pas compte ou ne tient pas compte des conséquences de son acte. L’imprévoyance est coupable quand le contribuable n’a pas usé des précautions commandées par les circonstances et par sa situation personnelle (art. 18 al. 3 du code pénal suisse du 21 décembre 1937 - CP - RS 311.0 ; ATA/1416/2017 du 17 octobre 2017 et les références citées).</w:t>
      </w:r>
    </w:p>
    <w:p>
      <w:r>
        <w:t>b. En règle générale, la quotité de l’amende est fixée au montant de l’impôt soustrait. Si la faute est légère, l’amende peut être réduite jusqu’au tiers de ce montant ; si la faute est grave, elle peut au plus être triplée (art. 175 al. 2 LIFD ; art. 56 al. 2 LHID ; art. 69 al. 2 LPFisc).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Il convient notamment de réduire le montant de l’amende lorsque le contribuable a agi par négligence, celle-ci devant être considérée comme un cas de faute légère au sens de l’art. 175 LIFD.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ATA/1487/2017 précité et les références citées).</w:t>
      </w:r>
    </w:p>
    <w:p>
      <w:r>
        <w:t>c. En l’espèce, le TAPI a, à juste titre, constaté la prescription de l’infraction de soustraction d’impôt consommée pour les années 2001 à 2003 en application du nouveau droit, en vigueur dès le 1er janvier 2017. Il aurait toutefois dû en tirer les conséquences, en annulant les amendes des années correspondantes, à savoir non seulement 2001, mais également 2002 et 2003. Le jugement entrepris sera dès lors modifié dans ce sens.</w:t>
      </w:r>
    </w:p>
    <w:p>
      <w:r>
        <w:t>Par ailleurs, il ressort du dossier qu’en ne déclarant pas les revenus de son activité d’architecte, alors qu’il avait l’obligation de le faire, le recourant a occasionné une perte fiscale à la collectivité, correspondant aux suppléments d’impôts fixés d’office. Il a agi intentionnellement, à tout le moins par dol éventuel, n’ignorant pas qu’en ne déclarant pas les revenus perçus durant les années en cause, ses taxations pouvaient se révéler incomplètes, ce que lui a rappelé à plusieurs reprises l’autorité fiscale.</w:t>
      </w:r>
    </w:p>
    <w:p>
      <w:r>
        <w:t>En fixant le montant de l’amende à 0,75 fois le montant des impôts soustraits, l’AFC-GE n’a pas excédé ni abusé de son pouvoir d’appréciation, le recourant n’ayant pas déclaré des revenus importants, sur une longue période. L’AFC-GE a toutefois également tenu compte de la collaboration de l’intéressé,</w:t>
      </w:r>
    </w:p>
    <w:p>
      <w:r>
        <w:t>- 16/17 - A/2074/2016 élément ne justifiant à lui seul pas une diminution de l’amende à un tiers des impôts soustraits, comme il le requiert, étant précisé qu’une telle quotité a été fixée pour l’infraction de tentative de soustraction fiscale pour l’année 2008, alors que la présente cause a trait à l’infraction consommée de soustraction d’impôt. 10) Il résulte de ce qui précède que le recours sera partiellement admis, en ce sens que la prescription du droit de procéder au rappel d’impôt pour l’ICC et l’IFD 2002 et de l’infraction de soustraction d’impôt pour l’ICC et l’IFD 2002 et 2003 sera constatée, le jugement entrepris, de même que les décisions et bordereaux y relatifs, étant annulés sur ces points. Le dossier sera renvoyé à l’AFC-GE pour l’établissement de nouveaux bordereaux d’amende pour l’ICC et l’IFD 2004 à 2007. 11) Vu l’issue du litige, un émolument de CHF 1'000.- sera mis à la charge des recourants, qui succombent en grande partie (art. 87 al. 1 LPA), et une indemnité de procédure de CHF 500.- leur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