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ATA/1276/2024 vom 30. Oktober 2024</w:t>
      </w:r>
    </w:p>
    <w:p>
      <w:r>
        <w:t>GE Cour de justice, 2024-10-30, FR</w:t>
      </w:r>
    </w:p>
    <w:p>
      <w:r>
        <w:rPr>
          <w:b/>
        </w:rPr>
        <w:t xml:space="preserve">Quelle: </w:t>
      </w:r>
      <w:r>
        <w:t>https://mcp.opencaselaw.ch/entscheid/ge_gerichte_ATA_1276_2024</w:t>
      </w:r>
    </w:p>
    <w:p>
      <w:r>
        <w:t>FR: GE_GERICHTE ATA/1276/2024 du 30 octobre 2024</w:t>
      </w:r>
    </w:p>
    <w:p>
      <w:r>
        <w:t>IT: GE_GERICHTE ATA/1276/2024 del 30 ottobre 2024</w:t>
      </w:r>
    </w:p>
    <w:p>
      <w:pPr>
        <w:pStyle w:val="Heading2"/>
      </w:pPr>
      <w:r>
        <w:t>Erwägungen</w:t>
      </w:r>
    </w:p>
    <w:p>
      <w:r>
        <w:rPr>
          <w:b/>
        </w:rPr>
        <w:t>E. 1</w:t>
      </w:r>
    </w:p>
    <w:p>
      <w:r>
        <w:t>La compétence de la chambre administrative est acquise, dès lors que la procédure vise la révision de l’un de ses arrêts et que le recours au Tribunal fédéral contre cet arrêt a été déclaré irrecevable. Sous cet angle, la demande de révision est recevable (art. 81 al. 1 in fine de la loi sur la procédure administrative du 12 septembre 1985 - LPA - E 5 10).</w:t>
      </w:r>
    </w:p>
    <w:p>
      <w:r>
        <w:rPr>
          <w:b/>
        </w:rPr>
        <w:t>E. 2.1</w:t>
      </w:r>
    </w:p>
    <w:p>
      <w:r>
        <w:t>Une demande de révision suppose que l’affaire soit réglée par une décision définitive (art. 80 LPA). 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En l’espèce, le rapport de B______ SA date du 20 juin 2024. La demande de révision du 20 août 2024 a été déposée dans le délai de trois mois, contre une décision définitive.</w:t>
      </w:r>
    </w:p>
    <w:p>
      <w:r>
        <w:rPr>
          <w:b/>
        </w:rPr>
        <w:t>E. 3.1</w:t>
      </w:r>
    </w:p>
    <w:p>
      <w:r>
        <w:t>Selon l’art. 80 let. b LPA, il y a lieu à révision lorsque des faits ou des moyens de preuve nouveaux et importants existent, que le demandeur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w:t>
      </w:r>
    </w:p>
    <w:p>
      <w:r>
        <w:t>- 5/8 - A/2801/2024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3.2</w:t>
      </w:r>
    </w:p>
    <w:p>
      <w:r>
        <w:t>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(Stéphane GRODECKI/Romain JORDAN, Code annoté de procédure administrative genevoise, 2017, n. 974 ad art. 80 LPA ; ATA/1092/2022 du 1er novembre 2022 consid. 3a). Les motifs de révision prévus par l’art. 80 LPA sont exhaustifs.</w:t>
      </w:r>
    </w:p>
    <w:p>
      <w:r>
        <w:rPr>
          <w:b/>
        </w:rPr>
        <w:t>E. 3.3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 ATA/362/2018 précité consid. 1d et les références citées).</w:t>
      </w:r>
    </w:p>
    <w:p>
      <w:r>
        <w:rPr>
          <w:b/>
        </w:rPr>
        <w:t>E. 3.4</w:t>
      </w:r>
    </w:p>
    <w:p>
      <w:r>
        <w:t>Lorsqu’aucune condition de l’art. 80 LPA n’est remplie, la demande est déclarée irrecevable (ATA/232/2022 du 1er mars 2022 ; ATA/1748/2019 du 3 décembre 2019 ; ATA/1149/2019 du 19 juillet 2019 consid. 2).</w:t>
      </w:r>
    </w:p>
    <w:p>
      <w:r>
        <w:rPr>
          <w:b/>
        </w:rPr>
        <w:t>E. 3.5</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w:t>
      </w:r>
    </w:p>
    <w:p>
      <w:r>
        <w:t>- 6/8 - A/2801/2024 décision, justifiant par là sa remise en cause (ATA/362/2018 précité consid. 1e ; ATA/294/2015 précité consid. 3e ; ATA/105/2014 du 18 février 2014 consid. 9).</w:t>
      </w:r>
    </w:p>
    <w:p>
      <w:r>
        <w:rPr>
          <w:b/>
        </w:rPr>
        <w:t>E. 3.6</w:t>
      </w:r>
    </w:p>
    <w:p>
      <w:r>
        <w:t>En l’espèce, la demanderesse n’allègue aucun élément nouveau, qu’il s’agisse d’un fait ou d’un moyen de preuve, au sens de l’art. 80 let. b LPA. Elle se contente de rappeler la version des faits qu’elle avait présentée lors de la procédure précédente. Or, ses allégations ont déjà été examinées de manière détaillée dans l’arrêt dont la révision est demandée. Le consid. 4 de la partie en droit de l’arrêt de la chambre de céans du 16 mai 2022, qui résume le litige, mentionne expressément qu’il a pour objet le bien-fondé de la décision de l’autorité intimée du 19 janvier 2022 appliquant à la recourante, en raison de son activité relevant du « commerce de gros », un taux forfaitaire de 8% pour l’aide financière extraordinaires complémentaires dans le contexte de la crise du Covid-19. Suivent dix pages de développements. Ainsi, notamment, en page 18, le consid. 10 détaille les raisons pour lesquelles l’autorité intimée pouvait, sans excès ni abus de son pouvoir d’appréciation, considérer que l’activité de la recourante était bien celle relevant du commerce de gros, conformément à ses déclarations initiales, étant donné la part prépondérante de son chiffre d’affaires en résultant et de la typologie de ses clients, en application de l’art. 8b al. 5 de l’ordonnance concernant les mesures pour les cas de rigueur destinées aux entreprises en lien avec l’épidémie de Covid-19 du 25 novembre 2020 (ordonnance Covid-19 cas de rigueur - RS 951.262) qui prévoyait l’application d’une part uniforme de coûts fixes pour les entreprises ayant des activités dans plusieurs domaines en fonction de celui dans lequel la plus grande part du chiffre d’affaires annuel avait été générée. La chambre de céans relevait que la recourante ne prétendait pas que ses domaines d’activités seraient clairement délimités au moyen d’une comptabilité pour permettre de bénéficier de la part de coûts fixes correspondant aux secteurs concernés et qu’elle n’avait pas non plus fait de demande en ce sens. Dans ces conditions, c’est à bon droit que le département relève que le point contesté et les arguments invoqués par la société en lien avec la qualification de son type d’activités par le département, à savoir le commerce de gros, ainsi que la part forfaitaire et relative des coûts fixes de 8% prévus par dispositif cas de rigueur pour ce type d’activités, avaient fait l’objet d’un examen approfondi tant par le département que par la chambre de céans au vu notamment des déclarations et des éléments chiffrés fournis par la société elle-même. La production d’un rapport d’audit commandé par la société après la fin de la procédure ordinaire sur les mêmes faits connus ne constitue ainsi pas un motif de révision au sens de l’art. 80 let. b LPA. Au vu de ce qui précède, les conditions d’un motif de révision au sens de l’art. 80 LPA n’étant pas réalisées, la demande de révision est irrecevable.</w:t>
      </w:r>
    </w:p>
    <w:p>
      <w:r>
        <w:rPr>
          <w:b/>
        </w:rPr>
        <w:t>E. 4</w:t>
      </w:r>
    </w:p>
    <w:p>
      <w:r>
        <w:t>Vu l’issue de la procédure, un émolument de CHF 400.- sera mis à la charge de la demanderesse (art. 87 al. 1 LPA) et aucune indemnité de procédure ne sera allouée (art. 87 al. 2 LPA).</w:t>
      </w:r>
    </w:p>
    <w:p>
      <w:r>
        <w:t>- 7/8 - A/2801/2024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