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ATA/1272/2017 vom 12. September 2017</w:t>
      </w:r>
    </w:p>
    <w:p>
      <w:r>
        <w:t>GE Cour de justice, 2017-09-12, FR</w:t>
      </w:r>
    </w:p>
    <w:p>
      <w:r>
        <w:rPr>
          <w:b/>
        </w:rPr>
        <w:t xml:space="preserve">Quelle: </w:t>
      </w:r>
      <w:r>
        <w:t>https://mcp.opencaselaw.ch/entscheid/ge_gerichte_ATA_1272_2017</w:t>
      </w:r>
    </w:p>
    <w:p>
      <w:r>
        <w:t>FR: GE_GERICHTE ATA/1272/2017 du 12 septembre 2017</w:t>
      </w:r>
    </w:p>
    <w:p>
      <w:r>
        <w:t>IT: GE_GERICHTE ATA/1272/2017 del 12 settembre 2017</w:t>
      </w:r>
    </w:p>
    <w:p>
      <w:pPr>
        <w:pStyle w:val="Heading2"/>
      </w:pPr>
      <w:r>
        <w:t>Erwägungen</w:t>
      </w:r>
    </w:p>
    <w:p>
      <w:r>
        <w:rPr>
          <w:b/>
        </w:rPr>
        <w:t>E. 26</w:t>
      </w:r>
    </w:p>
    <w:p>
      <w:r>
        <w:t>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w:t>
      </w:r>
    </w:p>
    <w:p>
      <w:r>
        <w:t>Un intérêt digne de protection suppose un intérêt actuel à obtenir l’annulation de la décision attaquée (ATF 135 I 79 consid. 1 ; 128 II 34 consid. 1b ; arrêt du Tribunal fédéral 1C_133/2009 du 4 juin 2009 consid. 3 ; Hansjörg SEILER, Handkommentar zum Bundesgerichtsgesetz [BGG], 2007, n. 33 ad art. 89 LTF p. 365 ; Karl SPUHLER/Annette DOLGE/Dominik VOCK, Kurzkommentar zum Bundesgerichtsgesetz [BGG],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 ATA/175/2007 du 17 avril 2007 consid. 2a ; ATA/915/2004 du 23 novembre 2004 consid. 2b) ou déclaré irrecevable (ATF 123 II 285 consid. 4 ; arrêt du Tribunal fédéral 1C_69/2007 du 11 juin 2007 consid. 2.3 ; ATA/192/2009 du 21 avril 2009 ; ATA/640/2005 du</w:t>
      </w:r>
    </w:p>
    <w:p>
      <w:r>
        <w:rPr>
          <w:b/>
        </w:rPr>
        <w:t>E. 27</w:t>
      </w:r>
    </w:p>
    <w:p>
      <w:r>
        <w:t>septembre 2005).</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 128 II 34 précité ; arrêt du Tribunal fédéral 6B_34/2009 du 20 avril 2009 consid. 3 ; ATA/418/2012 du 3 juillet 2012 consid. 2d ; ATA/365/2009 du 28 juillet 2009). Cela étant, l’obligation d’entrer en matière sur un recours, dans certaines circonstances, nonobstant l’absence d’un intérêt actuel, ne saurait avoir pour effet de créer une voie de recours non prévue par le droit cantonal</w:t>
      </w:r>
    </w:p>
    <w:p>
      <w:r>
        <w:t>- 4/5 - A/2851/2017 (ATF 135 I 79 précité consid. 1 p. 82 ; 131 II 361 précité consid. 1.2 p. 365 ; 128 II 34 précité consid. 1b p. 36 ; arrêts du Tribunal fédéral 1C_133/2009 du 4 juin 2009 consid. 3 ; 1C_76/2009 précité consid. 2 ; 6B_34/2009 précité consid. 1.3).</w:t>
      </w:r>
    </w:p>
    <w:p>
      <w:r>
        <w:t>c. Concernant le placement d'un prisonnier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(ATA/510/2014 précité ; ATA/183/2013 du 19 mars 2013 ; ATA/775/2012 du 13 novembre 2012 ; ATA/134/2009 du 17 mars 2009). 3)</w:t>
      </w:r>
    </w:p>
    <w:p>
      <w:r>
        <w:t>En l'espèce, le 7 juin 2017, le recourant, alors détenu à la prison, a fait l'objet de deux sanctions distinctes, dont un placement en cellule forte pour une durée de cinq jours.</w:t>
      </w:r>
    </w:p>
    <w:p>
      <w:r>
        <w:t>Il ressort de la procédure que le recourant a été mis en liberté le 9 août 2017, après exécution complète des deux sanctions. Aucun élément du dossier ne laisse à penser que le recourant est susceptible d'être incarcéré à nouveau, et par voie de conséquence d'être encore une fois sanctionné.</w:t>
      </w:r>
    </w:p>
    <w:p>
      <w:r>
        <w:t>Conformément à la jurisprudence constante de la chambre administrative, il n'y a dès lors aucune raison de passer outre l'exigence de l'intérêt actuel (ATA/594/2017 du 23 mai 2017 ; ATA/29/2017 du 17 janvier 2017 ; ATA/308/2016 du 12 avril 2016 et les références citées). 4)</w:t>
      </w:r>
    </w:p>
    <w:p>
      <w:r>
        <w:t>Vu ce qui précède, le recours sera déclaré irrecevable sans qu’il ne soit nécessaire d’examiner si un seul recours pouvait être dirigé contre deux sanctions. 5)</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r>
        <w:t>- 5/5 - A/2851/2017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