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ATA/126/2018 vom 6. Februar 2018</w:t>
      </w:r>
    </w:p>
    <w:p>
      <w:r>
        <w:t>GE Cour de justice, 2018-02-06, FR</w:t>
      </w:r>
    </w:p>
    <w:p>
      <w:r>
        <w:rPr>
          <w:b/>
        </w:rPr>
        <w:t xml:space="preserve">Quelle: </w:t>
      </w:r>
      <w:r>
        <w:t>https://mcp.opencaselaw.ch/entscheid/ge_gerichte_ATA_126_2018</w:t>
      </w:r>
    </w:p>
    <w:p>
      <w:r>
        <w:t>FR: GE_GERICHTE ATA/126/2018 du 6 février 2018</w:t>
      </w:r>
    </w:p>
    <w:p>
      <w:r>
        <w:t>IT: GE_GERICHTE ATA/126/2018 del 6 febbraio 2018</w:t>
      </w:r>
    </w:p>
    <w:p>
      <w:pPr>
        <w:pStyle w:val="Heading2"/>
      </w:pPr>
      <w:r>
        <w:t>Regeste</w:t>
      </w:r>
    </w:p>
    <w:p>
      <w:r>
        <w:t>Résumé: La différence faite entre les contribuables domiciliés à l'étranger et ceux domiciliés en Suisse n'est pas constitutive, en soi, d'une inégalité de traitement : les deux catégories de contribuables se trouvent dans une situation fondamentalement différentes du fait de leur domicile et de la situation géographiques de leurs biens et de leurs sources de revenus. Il n'est pas possible pour l'AFC-GE d'appréhender l'intégralité de la situation fiscale de la recourante de par son domicilié à l'étranger. Or, l'impôt confiscatoire doit être analysé à la lumière de l'ensemble des circonstances concrètes concernant un contribuable, de manière à déterminer la durée et la gravité de l'atteinte.</w:t>
      </w:r>
    </w:p>
    <w:p>
      <w:pPr>
        <w:pStyle w:val="Heading2"/>
      </w:pPr>
      <w:r>
        <w:t>Erwägungen</w:t>
      </w:r>
    </w:p>
    <w:p>
      <w:r>
        <w:rPr>
          <w:b/>
        </w:rPr>
        <w:t>E. 12</w:t>
      </w:r>
    </w:p>
    <w:p>
      <w:r>
        <w:t>septembre 1985 - LPA - E 5 10). 2)</w:t>
      </w:r>
    </w:p>
    <w:p>
      <w:r>
        <w:t>La recourante soutient qu’en excluant les contribuables domiciliés à l’étranger, l’art. 60 de la loi sur l'imposition des personnes physiques du 27 septembre 2009 (LIPP - D 3 08) viole le principe de l’égalité de traitement.</w:t>
      </w:r>
    </w:p>
    <w:p>
      <w:r>
        <w:t>a. Cette disposition est entrée en vigueur le 1er janvier 2011. Elle prévoit une limite fixe de taxation en pourcents. Le texte de son premier alinéa est le suivant :</w:t>
      </w:r>
    </w:p>
    <w:p>
      <w:r>
        <w:t>«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w:t>
      </w:r>
    </w:p>
    <w:p>
      <w:r>
        <w:t>Lors des travaux devant la commission parlementaire, il avait été précisé que « … la proposition consisterait à n'octroyer le bouclier qu'aux contribuables domiciliés en Suisse. Le Tribunal fédéral n'accepterait en effet pas que le bouclier fiscal soit limité aux contribuables domiciliés dans le canton. En revanche, l'octroi</w:t>
      </w:r>
    </w:p>
    <w:p>
      <w:r>
        <w:t>- 6/9 - A/3318/2016 du bouclier fiscal pourrait être refusé aux contribuables domiciliés à l'étranger » (MGC 2008-2009/IX A p. 11556).</w:t>
      </w:r>
    </w:p>
    <w:p>
      <w:r>
        <w:t>Dès lors, la volonté du législateur est bien de limiter le bénéfice de cette disposition aux contribuables domiciliés en Suisse.</w:t>
      </w:r>
    </w:p>
    <w:p>
      <w:r>
        <w:t>b. En vertu de l’art. 8 de la Constitution fédérale de la Confédération suisse du 18 avril 1999 (Cst. - RS 101), tous les êtres humains sont égaux devant la loi. En matière fiscale, le principe de l’égalité de traitement est repris à l’art. 127 al. 2 Cst. qui dispose que dans la mesure où la nature de l'impôt le permet, les principes de l'universalité, de l'égalité de traitement et de la capacité économique doivent, en particulier, être respectés.</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 134 I 23 consid. 9.1 ; 131 I 1 consid. 4.2). Cela suppose que le traitement différent ou semblable injustifié se rapporte à une situation de fait importante (ATF 138 I 225 consid. 3.6.1 ; 138 I 265 consid. 4.1 ; 137 V 334 consid. 6.2.1 ; arrêt du Tribunal fédéral 8C_582/2013 du 2 mai 2014 consid. 6.2.1). L'inégalité de traitement apparaît ainsi comme une forme particulière d'arbitraire, consistant à traiter de manière inégale ce qui devrait l'être de manière semblable ou inversement (ATF 129 I 346 consid. 6 ; arrêts du Tribunal fédéral 1F_2/2014 du 3 juillet 2014 consid. 1.3.1 et 2C_200/2011 du 14 novembre 2011 consid. 5.1).</w:t>
      </w:r>
    </w:p>
    <w:p>
      <w:r>
        <w:t>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(ATA/881/2014 du 11 novembre 2014 ; ATA/270/2014 du 15 avril 2014), chaque citoyen doit contribuer à la couverture des dépenses publiques compte tenu de sa situation personnelle et en proportion de ses moyens (ATF 140 II 157 consid. 7.1 p. 160).</w:t>
      </w:r>
    </w:p>
    <w:p>
      <w:r>
        <w:t>c. Depuis le dépôt de la réclamation le 31 mars 2015, la chambre administrative a tranché le grief relatif à l’inégalité de traitement dans le cadre de la procédure de recours ouverte contre les bordereaux d’ICC 2012 de la recourante. Selon l’ATA/662/2015 précité, la différence faite entre les contribuables domiciliés à l’étranger et ceux domiciliés en Suisse n’est pas constitutive, en soi, d’une inégalité de traitement : les deux catégories de contribuables se trouvent dans une situation fondamentalement différentes du fait</w:t>
      </w:r>
    </w:p>
    <w:p>
      <w:r>
        <w:t>- 7/9 - A/3318/2016 de leur domicile et de la situation géographiques de leurs biens et de leurs sources de revenus.</w:t>
      </w:r>
    </w:p>
    <w:p>
      <w:r>
        <w:t>d. En l’espèce, cette jurisprudence doit être confirmée. Dès lors que l’ATA/662/2015 précité est qualifié d’arbitraire par la recourante, les différences évidentes entre les contribuables ayant leur domicile en Suisse et ceux dont le domicile se trouve à l’étranger, seront à nouveau précisées.</w:t>
      </w:r>
    </w:p>
    <w:p>
      <w:r>
        <w:t>Lorsque le contribuable est domicilié en Suisse, il est imposé sur la totalité de son revenu et, en droit cantonal, sur la totalité de sa fortune. Lorsqu’il est domicilié à l’étranger, seuls les éléments de revenus ou de fortune se trouvant en Suisse sont imposables.</w:t>
      </w:r>
    </w:p>
    <w:p>
      <w:r>
        <w:t>Le contribuable domicilié en Suisse doit déclarer l’ensemble de ses revenus et de sa fortune. Afin de contrôler l’exactitude de ces déclarations, l’autorité fiscale dispose de moyens d’investigations. La situation fiscale d’un contribuable domicilié à l’étranger s’avère beaucoup plus compliquée à appréhender de manière détaillée et précise, sans entamer des procédures longues et conséquentes dans le cadre de demandes d’entraides administratives.</w:t>
      </w:r>
    </w:p>
    <w:p>
      <w:r>
        <w:t>Ainsi, ces deux catégories de contribuables se trouvent dans des situations fondamentalement différentes vis-vis de l’AFC-GE.</w:t>
      </w:r>
    </w:p>
    <w:p>
      <w:r>
        <w:t>Partant, ce grief, de même que celui relatif à l’IIC, seront écartés. 3)</w:t>
      </w:r>
    </w:p>
    <w:p>
      <w:r>
        <w:t>Il est encore nécessaire de déterminer si la taxation litigieuse est confiscatoire. 4) a. 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pouvoir être couvert par les rendements de celle-ci (ATF 106 Ia 342 consid. 6b).</w:t>
      </w:r>
    </w:p>
    <w:p>
      <w:r>
        <w:t>b. Le Tribunal fédéral fait preuve d’une grande retenue dans l’admission du caractère confiscatoire d’une imposition, qu’il n’a constaté qu’à une reprise, dans le cadre d’une rente viagère constituée par disposition pour cause de mort,</w:t>
      </w:r>
    </w:p>
    <w:p>
      <w:r>
        <w:t>- 8/9 - A/3318/2016 relativement à laquelle l’impôt sur les successions et l’impôt sur le revenu, combinés, représentaient 55 % du montant des rentes d’une personne ayant une capacité contributive réduite (ATA/1188/2015 du 3 novembre 2015 ; Xavier OBERSON, Droit fiscal suisse, 4ème éd., 2012, p. 44 n. 44).</w:t>
      </w:r>
    </w:p>
    <w:p>
      <w:r>
        <w:t>c. Le Tribunal fédéral a notamment admis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w:t>
      </w:r>
    </w:p>
    <w:p>
      <w:r>
        <w:t>d. En l’espèce, il n’est pas possible pour l’AFC-GE d’appréhender l’intégralité de la situation fiscale de la recourante de par son domicilié à l’étranger. Or, l’impôt confiscatoire doit être analysé à la lumière de l’ensemble des circonstances concrètes concernant un contribuable, de manière à déterminer la durée et la gravité de l’atteinte.</w:t>
      </w:r>
    </w:p>
    <w:p>
      <w:r>
        <w:t>Pour ce motif, ce grief sera écarté.</w:t>
      </w:r>
    </w:p>
    <w:p>
      <w:r>
        <w:t>Il sera encore précisé que la situation n’est pas différente de celle de 2012, traitée dans l’ATA/662/2015 précité. En effet, la recourante ne démontre pas que la charge fiscale à laquelle elle doit faire face est confiscatoire sur une longue période. Au contraire, elle a engagé durant ces deux années d’importants frais de rénovation de l’immeuble dont elle est propriétaire à Genève, ce qui correspond à une situation exceptionnelle. 5)</w:t>
      </w:r>
    </w:p>
    <w:p>
      <w:r>
        <w:t>Au vu de ce qui précède, le recours sera rejeté. 6)</w:t>
      </w:r>
    </w:p>
    <w:p>
      <w:r>
        <w:t>Vu l’issue du litige, un émolument de CHF 700.-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