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ATA/126/2017 vom 8. Februar 2017</w:t>
      </w:r>
    </w:p>
    <w:p>
      <w:r>
        <w:t>GE Cour de justice, 2017-02-08, FR</w:t>
      </w:r>
    </w:p>
    <w:p>
      <w:r>
        <w:rPr>
          <w:b/>
        </w:rPr>
        <w:t xml:space="preserve">Quelle: </w:t>
      </w:r>
      <w:r>
        <w:t>https://mcp.opencaselaw.ch/entscheid/ge_gerichte_ATA_126_2017</w:t>
      </w:r>
    </w:p>
    <w:p>
      <w:r>
        <w:t>FR: GE_GERICHTE ATA/126/2017 du 8 février 2017</w:t>
      </w:r>
    </w:p>
    <w:p>
      <w:r>
        <w:t>IT: GE_GERICHTE ATA/126/2017 del 8 febbraio 2017</w:t>
      </w:r>
    </w:p>
    <w:p>
      <w:pPr>
        <w:pStyle w:val="Heading2"/>
      </w:pPr>
      <w:r>
        <w:t>Erwägungen</w:t>
      </w:r>
    </w:p>
    <w:p>
      <w:r>
        <w:rPr>
          <w:b/>
        </w:rPr>
        <w:t>E. 1</w:t>
      </w:r>
    </w:p>
    <w:p>
      <w:r>
        <w:t>Monsieur A______, au bénéfice d’une formation d’enseignant en arts visuels, a été nommé par le Conseil d’État aux fonctions de maître de discipline spéciale dès le 1er septembre 1990.</w:t>
      </w:r>
    </w:p>
    <w:p>
      <w:r>
        <w:t>À compter du 1er décembre 2002, il a exercé en qualité d’inspecteur de l’enseignement primaire. Il a été confirmé dans cette fonction le 24 août 2005.</w:t>
      </w:r>
    </w:p>
    <w:p>
      <w:r>
        <w:t>Il a notamment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80 %.</w:t>
      </w:r>
    </w:p>
    <w:p>
      <w:r>
        <w:t>Il a été confirmé dans la fonction de directeur d’établissement primaire dès le 11 août 2009.</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w:t>
      </w:r>
    </w:p>
    <w:p>
      <w:r>
        <w:t>- 3/13 - A/4500/2016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A/4500/2016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A/4500/2016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A/4500/2016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A/4500/2016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A/4500/2016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