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ATA/126/2016 vom 9. Februar 2016</w:t>
      </w:r>
    </w:p>
    <w:p>
      <w:r>
        <w:t>GE Cour de justice, 2016-02-09, FR</w:t>
      </w:r>
    </w:p>
    <w:p>
      <w:r>
        <w:rPr>
          <w:b/>
        </w:rPr>
        <w:t xml:space="preserve">Quelle: </w:t>
      </w:r>
      <w:r>
        <w:t>https://mcp.opencaselaw.ch/entscheid/ge_gerichte_ATA_126_2016</w:t>
      </w:r>
    </w:p>
    <w:p>
      <w:r>
        <w:t>FR: GE_GERICHTE ATA/126/2016 du 9 février 2016</w:t>
      </w:r>
    </w:p>
    <w:p>
      <w:r>
        <w:t>IT: GE_GERICHTE ATA/126/2016 del 9 febbraio 2016</w:t>
      </w:r>
    </w:p>
    <w:p>
      <w:pPr>
        <w:pStyle w:val="Heading2"/>
      </w:pPr>
      <w:r>
        <w:t>Regeste</w:t>
      </w:r>
    </w:p>
    <w:p>
      <w:r>
        <w:t>Résumé: Le salaire minimum prévu par le CTT-Esthé doit être respecté pour toute employée exerçant en qualité d'esthéticienne ou de prothésiste ongulaire, nonobstant l'absence de diplôme ou d'expérience ou encore le fait que l'employée ait été engagée en qualité de stagiaire. Confirmation du principe de l'amende mais réduction de celle-ci à CHF 3'500.-.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concerne l'application du CTT-Esthé.</w:t>
      </w:r>
    </w:p>
    <w:p>
      <w:r>
        <w:t>À ce stade de la procédure, la recourante conteste uniquement avoir commis une violation des salaires minimaux prescrits par le CTT-Esthé concernant Mme E______ pour la période du 1er mai au 31 août 2013 et sollicite une réduction de l'amende.</w:t>
      </w:r>
    </w:p>
    <w:p>
      <w:r>
        <w:rPr>
          <w:b/>
        </w:rPr>
        <w:t>E. 3</w:t>
      </w:r>
    </w:p>
    <w:p>
      <w:r>
        <w:t>Dans la mesure où le CTT-Esthé a subi des modifications au 1er janvier 2016, se pose la question du droit applicable.</w:t>
      </w:r>
    </w:p>
    <w:p>
      <w:r>
        <w:t>- 10/15 - A/3956/2014</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(ATA/891/2015 du 1er septembre 2015 consid. 3 ; ATA/834/2013 du 17 décembre 2013 consid. 4b ; Thierry TANQUEREL, Manuel de droit administratif, 2011, n. 403 ss).</w:t>
      </w:r>
    </w:p>
    <w:p>
      <w:r>
        <w:t>Est dans lors applicable la CCT-Esthé dans sa teneur en vigueur en 2013, année durant lesquels les faits litigieux se sont déroulés.</w:t>
      </w:r>
    </w:p>
    <w:p>
      <w:r>
        <w:rPr>
          <w:b/>
        </w:rPr>
        <w:t>E. 4</w:t>
      </w:r>
    </w:p>
    <w:p>
      <w:r>
        <w:t>La recourante estime que dans la mesure où Mme E______ n’a aucune formation ni de diplôme d’esthéticienne et n’a jamais travaillé comme telle, elle n'était pas soumise aux conditions de rémunération du CTT-Esthé durant son stage, soit du 1er mai au 31 août 2013, ce d'autant plus que ce dernier ne traite pas spécifiquement de la question des stagiaires.</w:t>
      </w:r>
    </w:p>
    <w:p>
      <w:r>
        <w:t>a. À teneur de l'art. 1 du CTT-Esthé, dans sa teneur au 1er janvier 2013, sont considérés comme travailleuses et travailleurs du secteur de l’esthétique, au sens du présent contrat-type, les esthéticiennes et/ou les prothésistes ongulaires exerçant dans des instituts de beauté (al. 1) ; le présent contrat-type ne s’applique pas aux travailleurs du secteur de l’esthétique soumis à une convention collective de travail (al. 3).</w:t>
      </w:r>
    </w:p>
    <w:p>
      <w:r>
        <w:t>En vertu de l’art. 6 CTT-Esthé, le salaire minimum est de CHF 3'466.- par mois (al. 1) ; le salaire minimum prévu à l’al. 1 a un caractère impératif au sens de l’art. 360a CO pour une durée de travail hebdomadaire de quarante heures (al. 2) ; en cas de travail à temps partiel, le salaire minimum est calculé prorata temporis (al. 3) ; le caractère impératif du salaire minimum est prorogé jusqu’au 31 décembre 2015 (al. 4).</w:t>
      </w:r>
    </w:p>
    <w:p>
      <w:r>
        <w:t>b. Comme déjà relevé tant par l'OCIRT que par la chambre de céans (ATA/1305/2015 du 8 décembre 2015, consid. 4), le CTT-Esthé ne prévoit aucune distinction selon les qualifications, formations ou l’expérience de l’employé pour ce qui est du salaire minimal, alors que, par exemple, l’art. 10 du contrat-type de travail de l’économie domestique (CTT-EDom - J 1 50.03), l’art. 9 du contrat-type de la floriculture (CTT-Flor - J 1 50.10), et l’art. 2 du contrat-type de travail pour le transport de choses pour le compte de tiers (CTT-TCCT - J 1 50.18), tous adoptés par la CRCT, font de telles distinctions.</w:t>
      </w:r>
    </w:p>
    <w:p>
      <w:r>
        <w:t>- 11/15 - A/3956/2014</w:t>
      </w:r>
    </w:p>
    <w:p>
      <w:r>
        <w:t>c. L’art. 360a al. 1 CO précise que le contrat-type de travail d’une durée limitée prévoit des salaires minimaux différenciés selon les régions et, le cas échéant, selon les localités, et n’exige ainsi pas, sans toutefois l’exclure, la prise en compte des qualifications, formations et expérience. Par ailleurs, conformément à l’art. 360d al. 2 CO, il ne peut être dérogé à un contrat-type de travail au sens de l’art. 360a CO en défaveur du travailleur.</w:t>
      </w:r>
    </w:p>
    <w:p>
      <w:r>
        <w:t>d. En l'espèce, Mme E______ a procuré des soins à la clientèle de l'institut dès son engagement et ce jusqu'à la fin de son stage survenu le 31 août 2013. Ainsi, elle a exercé une activité d'esthéticienne dans un institut de beauté, au sens de l'art. 1 al. 1 CTT-Esthé. Par ailleurs, le fait qu'elle ait travaillé dans la société au bénéfice d'un contrat de stage n'y change rien, le CTT-Esthé ne prévoyant aucun traitement différencié pour les stagiaires. De plus, la situation Mme E______ ne saurait être assimilée à celle d'une personne engagée dans le cadre du suivi d'une formation certifiante, tel un CFC, de sorte que les conséquences de cette hypothèse n'ont pas à être examinées plus longuement.</w:t>
      </w:r>
    </w:p>
    <w:p>
      <w:r>
        <w:t>Dans ces conditions, le salaire minimum prévu par l'art. 6 al. 1 CTT-Esthé devait être respecté, nonobstant l'absence de diplôme voire d'expérience professionnelle de Mme E______.</w:t>
      </w:r>
    </w:p>
    <w:p>
      <w:r>
        <w:t>À toutes fins utiles, il sera relevé que le texte de l'art. 6 al. 1 CTT-Esthé a été modifié au 1er janvier 2016 et prévoit dorénavant que « le salaire minimum est de CHF 3'518.- par mois, même si le travailleur n’est ni au bénéfice d’une formation professionnelle ni d'une expérience utile au poste ». Quand bien même la nouvelle teneur de cette disposition n'est pas applicable au cas d'espèce, il apparaît que la volonté claire des autorités compétentes est bien d'assurer un salaire minimum à toutes les personnes exerçant en qualité d'esthéticiennes et de prothésistes ongulaires, peu importante leur niveau de formation et leur expérience professionnelle.</w:t>
      </w:r>
    </w:p>
    <w:p>
      <w:r>
        <w:t>Le grief de la recourante sera donc écarté.</w:t>
      </w:r>
    </w:p>
    <w:p>
      <w:r>
        <w:rPr>
          <w:b/>
        </w:rPr>
        <w:t>E. 5</w:t>
      </w:r>
    </w:p>
    <w:p>
      <w:r>
        <w:t>a. À teneur de l’art. 15 CTT-Esthé, l’OCIRT est l’organe de surveillance (al. 1) ; il est chargé notamment de contrôler le respect des salaires minimaux, les conditions de travail des jeunes gens et des personnes en formation ainsi que la sécurité des installations (al. 2).</w:t>
      </w:r>
    </w:p>
    <w:p>
      <w:r>
        <w:t>b. Selon l’art. 9 al. 2 let. c de la loi fédérale sur les conditions minimales de travail et de salaire applicables aux travailleurs détachés en Suisse et sur les mesures d'accompagnement du 8 octobre 1999 (LDét - RS 823.20), l’autorité cantonale visée à l’art. 7 al. 1 let. d LDét peut, en cas d’infraction aux dispositions relatives au salaire minimal d’un contrat-type de travail au sens l’art. 360a CO par l’employeur qui engage des travailleurs en Suisse, prononcer une sanction administrative prévoyant le paiement d’un montant de CHF 5'000.- au plus ;</w:t>
      </w:r>
    </w:p>
    <w:p>
      <w:r>
        <w:t>- 12/15 - A/3956/2014 l’art. 7 de la loi fédérale sur le droit pénal administratif du 22 mars 1974 (DPA - RS 313.0) est applicable.</w:t>
      </w:r>
    </w:p>
    <w:p>
      <w:r>
        <w:t>L’art. 9 al. 2 let. d LDét permet à ladite autorité de mettre tout ou partie des frais du contrôle à la charge de l’entreprise ou de la personne fautive.</w:t>
      </w:r>
    </w:p>
    <w:p>
      <w:r>
        <w:t>c. La LIRT précise la mise en œuvre, dans le canton de Genève, de la LDét (art. 1 al. 2 LIRT).</w:t>
      </w:r>
    </w:p>
    <w:p>
      <w:r>
        <w:t>En vertu de l’art. 35 LIRT, l’OCIRT est l'autorité compétente au sens de l'art. 7 al. 1 let. d LDét (al. 1) ; le prononcé des sanctions et mesures administratives prévues par l'article 9 de la LDét est du ressort de l'office (al. 3).</w:t>
      </w:r>
    </w:p>
    <w:p>
      <w:r>
        <w:t>d. En versant à Mme E______ une rémunération inférieure aux salaires minimaux, la recourante a commis une violation du CTT-Esthé. Partant, le prononcé d'une sanction administrative par l'OCIRT est justifié.</w:t>
      </w:r>
    </w:p>
    <w:p>
      <w:r>
        <w:rPr>
          <w:b/>
        </w:rPr>
        <w:t>E. 6</w:t>
      </w:r>
    </w:p>
    <w:p>
      <w:r>
        <w:t>S'agissant de la quotité de l'amende, la recourante conclut à la réduction de celle-ci afin qu'il soit notamment tenu compte des circonstances l'ayant conduit à se mettre en défaut avec la législation en vigueur, soit son défaut d'information.</w:t>
      </w:r>
    </w:p>
    <w:p>
      <w:r>
        <w:t>a. La LDét ne contient aucune précision concernant les principes afférents au principe du prononcé de l’amende administrative et à sa quotité.</w:t>
      </w:r>
    </w:p>
    <w:p>
      <w:r>
        <w:t>Cela étant, il n’y a aucun motif de s’écarter des règles générales en la matière.</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(ATA/1305/2015 du 8 décembre 2015 consid. 12b et les références citées).</w:t>
      </w:r>
    </w:p>
    <w:p>
      <w:r>
        <w:t>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(ATA/74/2013 du 6 février 2013 et les arrêts cités). La chambre de céans ne le censure qu’en cas d’excès ou d’abus (ATA/160/2009 du 31 mars 2009). Enfin, l’amende doit respecter le principe de la proportionnalité (art. 36 al. 3 d Cst. ; ATA/61/2014 du 4 février 2014 ; ATA/74/2013 précité et les arrêts cités).</w:t>
      </w:r>
    </w:p>
    <w:p>
      <w:r>
        <w:t>- 13/15 - A/3956/2014</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w:t>
      </w:r>
    </w:p>
    <w:p>
      <w:r>
        <w:t>c. En l’espèce, l’OCIRT a déterminé le montant total de l’amende en fonction de l’importance de la sous-enchère et du nombre d’infractions commises, à savoir selon le nombre de collaborateurs concernés.</w:t>
      </w:r>
    </w:p>
    <w:p>
      <w:r>
        <w:t>Une faute a été indéniablement commise par la recourante par le non-respect du salaire minimal prescrit par le CTT-Esthé. La violation du CTT-Esthé a porté sur plusieurs mois (mai à septembre 2013 pour Mme E______ et janvier à mars 2014 pour Mme F______) et a concerné deux employées, pour un montant total de CHF 10'175.84. Il s’agit en revanche de la première infraction commise par la recourante en cette matière ayant été constatée et cette dernière a collaboré à l'établissement des faits. Dans ces conditions, l’amende administrative de CHF 5'000.- infligée à la recourante paraît disproportionnée et sera ramenée à CHF 3'500.-.</w:t>
      </w:r>
    </w:p>
    <w:p>
      <w:r>
        <w:t>À toutes fins utiles, l'argument de la recourante selon laquelle elle n'était pas au courant de l'entrée en vigueur au 1er janvier 2013 du CTT-Esthé sera écarté dans la mesure où il a été édicté en bonne et due forme par l'autorité cantonale compétence et a été publié dans la FAO du 21 décembre 2012.</w:t>
      </w:r>
    </w:p>
    <w:p>
      <w:r>
        <w:rPr>
          <w:b/>
        </w:rPr>
        <w:t>E. 7</w:t>
      </w:r>
    </w:p>
    <w:p>
      <w:r>
        <w:t>Enfin et en tout état de cause, l’émolument de sanction de CHF 100.- entre dans le cadre de l’art. 66A let. a du règlement d'application de la loi sur l'inspection et les relations du travail du 23 février 2005 (RIRT - J 1 05.01).</w:t>
      </w:r>
    </w:p>
    <w:p>
      <w:r>
        <w:rPr>
          <w:b/>
        </w:rPr>
        <w:t>E. 8</w:t>
      </w:r>
    </w:p>
    <w:p>
      <w:r>
        <w:t>Vu ce qui précède, le recours sera admis partiellement.</w:t>
      </w:r>
    </w:p>
    <w:p>
      <w:r>
        <w:t>Un émolument réduit de CHF 500.- sera mis à la charge de la recourante, qui succombe concernant le principe de l’amende (art. 87 al. 1 LPA). Aucune indemnité de procédure ne lui sera allouée, la recourante n’y ayant pas conclu (art. 87 al. 2 LPA). * * * * *</w:t>
      </w:r>
    </w:p>
    <w:p>
      <w:r>
        <w:t>- 14/15 - A/3956/2014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