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ATA/1267/2018 vom 27. November 2018</w:t>
      </w:r>
    </w:p>
    <w:p>
      <w:r>
        <w:t>GE Cour de justice, 2018-11-27, FR</w:t>
      </w:r>
    </w:p>
    <w:p>
      <w:r>
        <w:rPr>
          <w:b/>
        </w:rPr>
        <w:t xml:space="preserve">Quelle: </w:t>
      </w:r>
      <w:r>
        <w:t>https://mcp.opencaselaw.ch/entscheid/ge_gerichte_ATA_1267_2018</w:t>
      </w:r>
    </w:p>
    <w:p>
      <w:r>
        <w:t>FR: GE_GERICHTE ATA/1267/2018 du 27 novembre 2018</w:t>
      </w:r>
    </w:p>
    <w:p>
      <w:r>
        <w:t>IT: GE_GERICHTE ATA/1267/2018 del 27 novembre 2018</w:t>
      </w:r>
    </w:p>
    <w:p>
      <w:pPr>
        <w:pStyle w:val="Heading2"/>
      </w:pPr>
      <w:r>
        <w:t>Erwägungen</w:t>
      </w:r>
    </w:p>
    <w:p>
      <w:r>
        <w:rPr>
          <w:b/>
        </w:rPr>
        <w:t>E. 1</w:t>
      </w:r>
    </w:p>
    <w:p>
      <w:r>
        <w:t>Interjeté en temps utile, en tenant compte de la suspension de délai intervenant entre le 15 juillet et le 15 août,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Le recourant sollicite son audition et celle du responsable du PCTN.</w:t>
      </w:r>
    </w:p>
    <w:p>
      <w:r>
        <w:t>a. Selon la jurisprudence développée par le Tribunal fédéral et reprise par la chambre de céans (ATA/1140/2018 du 30 octobre 2018 consid. 2a et les références citées),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comprend pas le droit d’être entendu oralement (arrêt du Tribunal fédéral 1C_551/2015 du 22 mars 2016 consid. 2.2 ; aussi art. 41 2ème phr. LPA) ni celui d’obtenir l’audition de témoins (ATF 130 II 425 consid. 2.1).</w:t>
      </w:r>
    </w:p>
    <w:p>
      <w:r>
        <w:t>b. En l’espèce, le dossier contient les pièces nécessaires à l’établissement des faits. Le recourant a eu l’occasion d’exercer son droit d’être entendu par écrit tant devant le PCTN que dans ses écritures dans le cadre de la présente procédure. Il a pu produire les pièces qu’il estime utile. Les questions concernant lesquelles l’intéressé souhaite l’audition du responsable du PCTN sont d’ordre général et ont pu être traitées dans la réponse de cette autorité. Le recourant a par ailleurs pu répliquer. Ainsi, les auditions sollicitées n’apparaissent pas de nature à apporter un éclairage utile aux questions à trancher.</w:t>
      </w:r>
    </w:p>
    <w:p>
      <w:r>
        <w:t>Il ne sera dès lors pas donné suite à la requête du recourant.</w:t>
      </w:r>
    </w:p>
    <w:p>
      <w:r>
        <w:rPr>
          <w:b/>
        </w:rPr>
        <w:t>E. 3</w:t>
      </w:r>
    </w:p>
    <w:p>
      <w:r>
        <w:t>a. Le 1er juillet 2017 est entrée en vigueur la loi sur les taxis et les voitures de transport avec chauffeur du 13 octobre 2016 (LTVTC - H 1 31) et le règlement d’exécution de la LTVTC du 21 juin 2017 (RTVTC - H 1 31.01), abrogeant</w:t>
      </w:r>
    </w:p>
    <w:p>
      <w:r>
        <w:t>- 7/18 - A/3085/2018 l’ancienne loi sur les taxis et limousines (transport professionnel de personnes au moyen de voitures automobiles) du 21 janvier 2005 (aLTaxis) et son règlement d’exécution du 4 mai 2005 (aRTaxis ; art. 40 LTVTC et 53 RTVTC).</w:t>
      </w:r>
    </w:p>
    <w:p>
      <w:r>
        <w:t>b. Aux termes des dispositions transitoires du RTVTC, les faits constatés avant l’entrée en vigueur de la LTVTC se poursuivent selon l’ancien droit et devant les autorités compétentes sous l’empire de ce droit. L’art. 48 LTaxis, concernant la commission de discipline, n’est toutefois pas applicable (art. 66 al. 1 RTVTC). L’application du nouveau droit est réservée, si ce dernier est plus favorable à l’auteur de l’infraction (art. 66 al. 2 RTVTC).</w:t>
      </w:r>
    </w:p>
    <w:p>
      <w:r>
        <w:t>c. À cet égard, l’art. 66 al. 1 1ère phr. RTVTC ne fait que reprendre la règle générale selon laquelle s’appliquent aux faits dont les conséquences juridiques sont en cause, les normes en vigueur au moment où ces faits se produisent (ATA/629/2018 du 19 juin 2018 ; Pierre MOOR/Alexandre FLÜCKIGER/ Vincent MARTENET, Droit administratif, vol. 1, 3ème éd., 2012, p. 184). L’art. 66 al. 2 RTVTC reprend quant à lui le principe de la lex mitior applicable aux sanctions.</w:t>
      </w:r>
    </w:p>
    <w:p>
      <w:r>
        <w:t>d. En l’occurrence, les faits retenus dans la décision attaquée se sont déroulés entièrement sous l’ancien droit. S’agissant de l’amende, la chambre administrative a déjà retenu que le nouveau droit (art. 38 al. 1 LTVTC), prévoyant en cas de violation de ses prescriptions ou de ses dispositions d’exécution une amende de CHF 200.- à CHF 20’000.-, n’était pas plus favorable que l’art. 45 al. 1 LTaxis, punissant d’une amende administrative de CHF 100.- à CHF 20’000.- toute personne ayant enfreint les prescriptions de la LTaxis ou de ses dispositions d’exécution (ATA/629/2018 précité et les références citées).</w:t>
      </w:r>
    </w:p>
    <w:p>
      <w:r>
        <w:t>La présente cause est donc soumise à l’aLTaxis et l’aRTaxis.</w:t>
      </w:r>
    </w:p>
    <w:p>
      <w:r>
        <w:rPr>
          <w:b/>
        </w:rPr>
        <w:t>E. 4</w:t>
      </w:r>
    </w:p>
    <w:p>
      <w:r>
        <w:t>Le recourant se plaint d’une violation de son droit d’être entendu parce que le barème des sanctions ne figurait pas dans son dossier qu’il avait consulté et en raison du défaut de motivation de la décision querellée.</w:t>
      </w:r>
    </w:p>
    <w:p>
      <w:r>
        <w:t>a. Dans le cadre de l’exercice du droit d’être entendu, la possibilité pour l’administré de faire valoir ses arguments dans une procédure suppose la connaissance préalable des éléments dont l’autorité dispose (ATA/987/2018 du 25 septembre 2018 consid. 4c).</w:t>
      </w:r>
    </w:p>
    <w:p>
      <w:r>
        <w:t>En l’espèce, dans le cadre des échanges de correspondances qu’il a eus avec le recourant, le PCTN lui a indiqué qu’il ne disposait pas d’autres pièces le concernant que les rapports transmis le 14 novembre 2017. Il ne ressort pas de la décision querellée que des éléments hors dossiers auraient été pris en compte.</w:t>
      </w:r>
    </w:p>
    <w:p>
      <w:r>
        <w:t>Par ailleurs, le fait que le barème des sanctions ne figure pas dans le dossier consulté ne saurait constituer une informalité. De jurisprudence constante, ce</w:t>
      </w:r>
    </w:p>
    <w:p>
      <w:r>
        <w:t>- 8/18 - A/3085/2018 barème est un document accessible à tout un chacun (ATA/235/2014 du 8 avril 2014 consid. 12). Cela n’emporte pas qu’il doive figurer dans le dossier de chaque administré faisant l’objet d’une procédure de sanction, pas plus que ne devraient s’y trouver les textes légaux ou réglementaires appliqués par l’autorité. Il doit en revanche être mis à disposition à première demande.</w:t>
      </w:r>
    </w:p>
    <w:p>
      <w:r>
        <w:t>Le recourant n’a pas formulé une telle demande au PCTN. Il soutient que l’autorité intimée aurait dû comprendre que sa demande de consultation de son dossier emportait demande de consultation du barème compte tenu d’échanges de vue antérieurs entre le PCTN et son conseil dans une procédure de 2015 concernant une autre partie.</w:t>
      </w:r>
    </w:p>
    <w:p>
      <w:r>
        <w:t>Le recourant ne peut toutefois être suivi. En effet, son allégation n’est étayée par aucune pièce pertinente, le seul extrait produit d’observations du PCTN dans le cadre de cette procédure de 2015 portant sur la position d’alors de ce service au sujet de la portée du barème en question.</w:t>
      </w:r>
    </w:p>
    <w:p>
      <w:r>
        <w:t>Le grief doit être écarté sur point.</w:t>
      </w:r>
    </w:p>
    <w:p>
      <w:r>
        <w:t>b. Le droit d’être entendu implique également pour l’autorité l’obligation de motiver sa décision. La motivation d’une décision est suffisante lorsque l’autorité mentionne, au moins brièvement, les motifs qui l’ont guidée. L’autorité ne doit toutefois pas se prononcer sur tous les moyens des parties; elle peut se limiter aux questions décisives (ATF 134 I 83 consid. 4.1 ; 130 II 530 consid. 4.3 et les arrêts cités).</w:t>
      </w:r>
    </w:p>
    <w:p>
      <w:r>
        <w:t>Dans le cas présent, la motivation de la décision litigieuse permet au recourant tant de comprendre sa portée, en particulier les reproches qui lui sont adressés, que de recourir contre cet acte en toute connaissance de cause et de manière efficace.</w:t>
      </w:r>
    </w:p>
    <w:p>
      <w:r>
        <w:t>Le grief n’est pas non plus fondé sur ce second point.</w:t>
      </w:r>
    </w:p>
    <w:p>
      <w:r>
        <w:rPr>
          <w:b/>
        </w:rPr>
        <w:t>E. 5</w:t>
      </w:r>
    </w:p>
    <w:p>
      <w:r>
        <w:t>Le recourant soutient être libre d’exercer une activité de chauffeur VTC sans carte professionnelle de chauffeur de limousine, en application des dispositions de la LMI.</w:t>
      </w:r>
    </w:p>
    <w:p>
      <w:r>
        <w:t>a. La LMI garantit à toute personne ayant son siège ou son établissement en Suisse l’accès libre et non discriminatoire au marché afin qu’elle puisse exercer une activité lucrative sur tout le territoire suisse (art. 1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(art. 2 al. 1 LMI).</w:t>
      </w:r>
    </w:p>
    <w:p>
      <w:r>
        <w:t>- 9/18 - A/3085/2018</w:t>
      </w:r>
    </w:p>
    <w:p>
      <w:r>
        <w:t>Selon l’art. 3 al. 1 LMI,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L’art. 3 al. 2 LMI dispose que les restrictions ne répondent pas au principe de la proportionnalité lorsque : une protection suffisante des intérêts publics prépondérants peut être obtenue au moyen des dispositions applicables au lieu de provenance (let. a) ; les attestations de sécurité ou certificats déjà produits par l’offreur au lieu de provenance sont suffisants (let. b) ; le siège ou l’établissement au lieu de destination est exigé comme préalable à l’autorisation d’exercer une activité lucrative (let. c) ; une protection suffisante des intérêts publics prépondérants peut être garantie par l’activité que l’offreur a exercée au lieu de provenance (let. d). L’art. 3 al. 3 LMI précise que les restrictions visées à l’al. 1 ne doivent en aucun cas constituer une barrière déguisée à l’accès au marché destinée à favoriser les intérêts économiques locaux.</w:t>
      </w:r>
    </w:p>
    <w:p>
      <w:r>
        <w:t>La LMI pose le principe du libre accès au marché selon les prescriptions du lieu de provenance, qui est l’un de ses principes fondamentaux avec celui de la non-discrimination entre les offreurs externes et locaux (Vincent MARTENET/ Pierre TERCIER in Vincent MARTENET/Christian BOVET/Pierre TERCIER [éd.], Droit de la concurrence, 2ème éd., 2013, n. 65 ss ad Intro. LMI). Le principe du libre accès au marché a été renforcé par la modification de la LMI du 16 décembre 2005 entrée en vigueur le 1er juillet 2006, au travers de laquelle le législateur a tendu, en supprimant les entraves cantonales et communales à l’accès au marché, à consacrer la primauté du marché intérieur sur le fédéralisme (FF 2005 4221, 422). L’idée du législateur était entre autres d’empêcher que le principe du fédéralisme ne l’emporte sur celui du marché intérieur (ATF 134 II 329 consid. 5.2). Cela ne signifie pas pour autant que toutes les limitations cantonales au libre accès au marché sont prohibées, notamment lorsqu’elles résultent du droit fédéral (ATF 141 II 280 consid. 5.1).</w:t>
      </w:r>
    </w:p>
    <w:p>
      <w:r>
        <w:t>b. Lors des contrôles dont il a fait l’objet, le recourant était domicilié dans le canton de Genève. Il a certes, dans son courrier du 1er décembre 2017, contesté les faits reprochés, sans toutefois donner sa propre version. Toutefois, dans son recours, il a admis les faits retenus dans les rapports et portant sur les quatre infractions reprochées, les 2 décembre 2015, 23 novembre 2016 ainsi que 2 et</w:t>
      </w:r>
    </w:p>
    <w:p>
      <w:r>
        <w:rPr>
          <w:b/>
        </w:rPr>
        <w:t>E. 10</w:t>
      </w:r>
    </w:p>
    <w:p>
      <w:r>
        <w:t>février 2017 d’infractions aux art. 5 al. 1, 7 et 45 al. 1 aLTaxis.</w:t>
      </w:r>
    </w:p>
    <w:p>
      <w:r>
        <w:rPr>
          <w:b/>
        </w:rPr>
        <w:t>E. 11</w:t>
      </w:r>
    </w:p>
    <w:p>
      <w:r>
        <w:t>Conformément à l’art. 45 al. 1 aLTaxis, le PCTN, compétent en vertu de l’art. 1 al. 1 et 2 aRTaxis, peut, indépendamment du prononcé des sanctions ou mesures prévues aux art. 46 et 47 aLTaxis, infliger une amende administrative de CHF 100.- à CHF 20’000.- à toute personne ayant enfreint les prescriptions de l’aLTaxis ou de ses dispositions d’exécution.</w:t>
      </w:r>
    </w:p>
    <w:p>
      <w:r>
        <w:t>- 14/18 - A/3085/2018</w:t>
      </w:r>
    </w:p>
    <w:p>
      <w:r>
        <w:rPr>
          <w:b/>
        </w:rPr>
        <w:t>E. 12</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(ATA/313/2017 précité consid. 4a).</w:t>
      </w:r>
    </w:p>
    <w:p>
      <w:r>
        <w:t>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 LTaxis ne contenant pas de disposition réglant la question de la prescription, il y a lieu de faire application, par analogie, de l’art. 109 CP, à teneur duquel la prescription de l’action pénale est de trois ans (ATA/313/2017 précité consid. 4bet les références citées).</w:t>
      </w:r>
    </w:p>
    <w:p>
      <w:r>
        <w:t>c. Selon l’art. 98 CP, la prescription court, alternativement, dès le jour où l’auteur a exercé son activité coupable, dès le jour du dernier acte si cette activité s’est exercée à plusieurs reprises ou encore dès le jour où les agissements coupables ont cessé s’ils ont eu une certaine durée. En vertu de l’art. 97 al. 3 CP, elle ne court plus si, avant son échéance, un jugement de première instance a été rendu.</w:t>
      </w:r>
    </w:p>
    <w:p>
      <w:r>
        <w:t>d. La prescription est une question de droit matériel qu’il y a lieu d’examiner d’office lorsqu’elle joue en faveur de l’administré (ATF 138 II 169 consid. 3.2 ; ATA/1368/2017 du 10 octobre 2017 ; ATA/647/2016 du 26 juillet 2016).</w:t>
      </w:r>
    </w:p>
    <w:p>
      <w:r>
        <w:t>e. En l’espèce, au vu de la date du présent arrêt, la prescription de l’action pénale n’est pas acquise pour les faits du 2 décembre 2015 ni a fortiori pour les suivants.</w:t>
      </w:r>
    </w:p>
    <w:p>
      <w:r>
        <w:rPr>
          <w:b/>
        </w:rPr>
        <w:t>E. 13</w:t>
      </w:r>
    </w:p>
    <w:p>
      <w:r>
        <w:t>a.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(ATA/1212/2018 précité consid. 7b ; ATA/1239/2017 du 29 août 2017).</w:t>
      </w:r>
    </w:p>
    <w:p>
      <w:r>
        <w:t>b.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w:t>
      </w:r>
    </w:p>
    <w:p>
      <w:r>
        <w:t>- 15/18 - A/3085/2018 compte tenu de sa situation personnelle et des circonstances extérieures (art. 47 al. 2 CP ; ATA/1472/2017 du 14 novembre 2017).</w:t>
      </w:r>
    </w:p>
    <w:p>
      <w:r>
        <w:t>c. À teneur de l’art. 48 al. 1 aLTaxis, une commission de discipline,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w:t>
      </w:r>
    </w:p>
    <w:p>
      <w:r>
        <w:t>Il ressort du dossier que le PCTN n’a pas recueilli le préavis de la commission de discipline, en se fondant sur une jurisprudence de la chambre administrative du 16 janvier 2018 (ATA/38/2018 consid 2 d.) retenant l’application de l’aLTaxis et de l’aRtaxis, avec la précision que l’art. 48 aLTaxis restait applicable puisque la décision attaquée avait été rendue avant l’entrée en vigueur de la nouvelle législation. Il ne s’ensuit pas que, par un raisonnement a contrario, le préavis ne doive plus être recueilli lorsque la décision intervient, comme en l’espèce, après l’entrée en vigueur de la LTVTC. Si, après l’entrée en vigueur de cette loi, l’aLTaxis et l’aRTaxis sont demeurés applicables aux situations nées sous leur empire, l’art. 66 al. 1 in fine RTVTC prévoit que l’art. 48 aLTaxis n’est toutefois pas applicable. La chambre de céans n’a pas encore eu à trancher la question de la légalité de cette disposition réglementaire dérogeant au principe général du droit qu’elle énonce dans sa première phrase. Cette question souffrira toutefois de demeurer indécise.</w:t>
      </w:r>
    </w:p>
    <w:p>
      <w:r>
        <w:t>En effet, dans le cas examiné dans l’ATA/38/2018 précité, un préavis avait bien été émis par la commission de discipline, sans toutefois que le PCTN ne soumette le dossier à ses membres. La chambre administrative a estimé que cette façon de procéder n’était pas conforme au droit. Elle a toutefois renoncé à renvoyer la cause au PCTN pour que ce dernier sollicite un préavis de la commission de discipline, dans la mesure où il ressortait des écritures du recourant qu’il ne contestait pas les faits constitutifs des infractions retenues (consid. 6d). Cette dernière solution a été retenue dans d’autres espèces (ATA/1212/2018 précité consid. 7f ; ATA/319/2018 du 10 avril 2018 consid. 11e).</w:t>
      </w:r>
    </w:p>
    <w:p>
      <w:r>
        <w:t>In casu, il en sera fait de même, dès lors que dans ses écritures devant la chambre de céans, le recourant ne conteste pas ne pas avoir été titulaire de l’autorisation nécessaire pour exercer son activité de chauffeur de limousine, lors du contrôle des 2 décembre 2015, 23 novembre 2016 ainsi que 2 et 10 février 2017.</w:t>
      </w:r>
    </w:p>
    <w:p>
      <w:r>
        <w:t>Le grief tiré de l’absence de préavis de la commission de discipline sera donc écarté.</w:t>
      </w:r>
    </w:p>
    <w:p>
      <w:r>
        <w:t>- 16/18 - A/3085/2018</w:t>
      </w:r>
    </w:p>
    <w:p>
      <w:r>
        <w:t>d. Le fait de prendre en charge des clients en se présentant comme un professionnel sans y être autorisé, constitue une infraction grave à l’aLTaxis, eu égard au but de cette loi, soit notamment d’assurer une exploitation des services de taxis et de limousines conforme aux exigences de la sécurité publique (ATA/1212/2018 précité consid. 7f).</w:t>
      </w:r>
    </w:p>
    <w:p>
      <w:r>
        <w:t>Les explications du recourant afférentes au caractère flou du contexte général de l’activité de limousine avec l’application « Uber » et à des indices forts en faveur de la légalité de son activité de chauffeur de limousine sans carte professionnelle, et se référant à des prises de position de la commission de la concurrence et d’un professeur de droit ainsi qu’à une prétendue impunité – au demeurant non démontrée – à l’égard de chauffeurs professionnels vaudois courant 2015, ne sont pas convaincantes. L’intéressé ne pouvait en effet pas ignorer que son activité de chauffeur de limousine était soumise à autorisation, sans quoi il n’aurait pas tenté de se soustraire à cette obligation en utilisant des véhicules immatriculés dans le canton de Vaud. Le recourant étant domicilié dans le canton de Genève et ladite activité étant essentiellement concentrée dans le canton de Genève, il ne pouvait pas lui échapper qu’en utilisant des véhicules immatriculés dans le canton voisin pour transporter professionnellement des passagers, il contournait illicitement les exigences claires de l’aLTaxis et de son règlement d’exécution.</w:t>
      </w:r>
    </w:p>
    <w:p>
      <w:r>
        <w:t>Même si l’intéressé n’avait utilisé l’application « Uber » que trois fois sur les quatre infractions, toutes constituent des infractions graves à l’aLTaxis et à l’aRTaxis, y compris les faits du 10 février 2017, étant relevé que cette dernière course a en tout état de cause été effectuée en majeure partie dans le canton de Genève vu la halte admise à Rive. Cette activité illicite, indépendante de l’existence d’un permis de conduire professionnel et d’une longue expérience professionnelle, a eu lieu durant une période non négligeable, à savoir au moins douze mois en tout. L’intimé a sanctionné ces infractions environ dix-sept mois après la commission de la dernière. Par ailleurs, le recourant n’a pas d’antécédents. En outre, il a, environ un an après les derniers faits reprochés, obtenu la carte professionnelle de chauffeur de VTC auprès du PCTN.</w:t>
      </w:r>
    </w:p>
    <w:p>
      <w:r>
        <w:t>Quant à sa situation financière, il ressort des avis de taxation, pour l’année durant laquelle les deux dernières infractions ont été commises, un bénéfice net annuel de CHF 33’094.- correspondant à CHF 2’757.85 mensuellement, soit par an et après les déductions un revenu total de CHF 24’898.- pour l’ICC et CHF 28’193.- pour l’IFD. Le recourant perçoit désormais un revenu mensuel net de CHF 4’500.- dans le cadre d’un emploi. La situation financière de l’intéressé, qui est célibataire, peut être qualifiée de peu aisée, mais elle lui permettrait actuellement de s’acquitter de l’amende présentement litigieuse.</w:t>
      </w:r>
    </w:p>
    <w:p>
      <w:r>
        <w:t>Compte tenu de l’ensemble de ces circonstances, ainsi que de la sévérité dont doit faire preuve l’autorité afin d’assurer le respect de la loi et de son large</w:t>
      </w:r>
    </w:p>
    <w:p>
      <w:r>
        <w:t>- 17/18 - A/3085/2018 pouvoir d’appréciation, l’amende administrative doit être confirmée dans son principe et également dans son montant de CHF 3’750.-.</w:t>
      </w:r>
    </w:p>
    <w:p>
      <w:r>
        <w:rPr>
          <w:b/>
        </w:rPr>
        <w:t>E. 14</w:t>
      </w:r>
    </w:p>
    <w:p>
      <w:r>
        <w:t>Au vu de ce qui précède, la décision querellée est conforme au droit et le recours sera rejeté.</w:t>
      </w:r>
    </w:p>
    <w:p>
      <w:r>
        <w:rPr>
          <w:b/>
        </w:rPr>
        <w:t>E. 15</w:t>
      </w:r>
    </w:p>
    <w:p>
      <w:r>
        <w:t>Vu l’issue du litige, un émolument de CHF 1’000.-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