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ATA/125/2012 vom 6. März 2012</w:t>
      </w:r>
    </w:p>
    <w:p>
      <w:r>
        <w:t>GE Cour de justice, 2012-03-06, FR</w:t>
      </w:r>
    </w:p>
    <w:p>
      <w:r>
        <w:rPr>
          <w:b/>
        </w:rPr>
        <w:t xml:space="preserve">Quelle: </w:t>
      </w:r>
      <w:r>
        <w:t>https://mcp.opencaselaw.ch/entscheid/ge_gerichte_ATA_125_2012</w:t>
      </w:r>
    </w:p>
    <w:p>
      <w:r>
        <w:t>FR: GE_GERICHTE ATA/125/2012 du 6 mars 2012</w:t>
      </w:r>
    </w:p>
    <w:p>
      <w:r>
        <w:t>IT: GE_GERICHTE ATA/125/2012 del 6 marzo 2012</w:t>
      </w:r>
    </w:p>
    <w:p>
      <w:pPr>
        <w:pStyle w:val="Heading2"/>
      </w:pPr>
      <w:r>
        <w:t>Regeste</w:t>
      </w:r>
    </w:p>
    <w:p>
      <w:r>
        <w:t>Résumé: Une situation de conflit familial entre la recourante et sa fille, laquelle a pris en 1999 l'engagement écrit de subvenir aux besoins de sa mère, n'est pas pertinente pour l'examen du droit à des prestations complémentaires. Dès lors que la situation financière de la garante ne s'est pas dégradée, celle-ci doit continuer à assumer l'engagement pris envers la recourante, ce en vertu du principe de subsidiarité de l'aide sociale. En conséquence, aucune prestation complémentaire n'est due et le recours doit être rejeté.</w:t>
      </w:r>
    </w:p>
    <w:p>
      <w:pPr>
        <w:pStyle w:val="Heading2"/>
      </w:pPr>
      <w:r>
        <w:t>Erwägungen</w:t>
      </w:r>
    </w:p>
    <w:p>
      <w:r>
        <w:rPr>
          <w:b/>
        </w:rPr>
        <w:t>E. 1</w:t>
      </w:r>
    </w:p>
    <w:p>
      <w:r>
        <w:t>Interjeté en temps utile devant la juridiction compétente, le recours est recevable (art. 52 de loi sur l’insertion et l’aide sociale individuelle du 22 mars 2007 - LIASI - J 4 04 ; art. 22 al. 3 du règlement d’exécution de la loi sur l’insertion et l’aide sociale individuelle du 25 juillet 2007 - RIASI - J 4 04.01 ; art. 132 de la loi sur l’organisation judiciaire du 26 septembre 2010 - LOJ - E 2 05).</w:t>
      </w:r>
    </w:p>
    <w:p>
      <w:r>
        <w:rPr>
          <w:b/>
        </w:rPr>
        <w:t>E. 2</w:t>
      </w:r>
    </w:p>
    <w:p>
      <w:r>
        <w:t>Le litige porte sur le droit de la recourante à recevoir des prestations d’assistance.</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(ATF 122 II 193 = JdT 1998 I 566, consid. 2cc dd ; Arrêts du Tribunal fédéral 2P.115/2001 du 11 septembre 2001, consid. 2a ; 2P.59/2001 du 11 septembre 2001, consid. 2b).</w:t>
      </w:r>
    </w:p>
    <w:p>
      <w:r>
        <w:t>b. La Cst. ne garantit toutefois que le principe du droit à des conditions minimales d’existence ; il appartient ainsi au législateur - fédéral, cantonal et communal - d’adopter des règles en matière de sécurité sociale qui ne descendent pas en-dessous du seuil minimum découlant de l’art. 12 Cst., mais qui peuvent aller au-delà (Arrêt du Tribunal fédéral 2P.115/2001 du 11 septembre 2001, consid. 2a).</w:t>
      </w:r>
    </w:p>
    <w:p>
      <w:r>
        <w:t>Cette garantie constitutionnelle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 92-93). Les prestations d’assistance doivent donc être adaptées à chaque cas individuel.</w:t>
      </w:r>
    </w:p>
    <w:p>
      <w:r>
        <w:t>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La Haute Cour admet dès</w:t>
      </w:r>
    </w:p>
    <w:p>
      <w:r>
        <w:t>- 8/11 - A/761/2011 lors que le refus de l’aide ne peut se justifier qu’en cas de comportement abusif de la personne concernée (ATF 121 I 367 = JdT 1997 I 285, consid. 3).</w:t>
      </w:r>
    </w:p>
    <w:p>
      <w:r>
        <w:t>d. Le droit fondamental garanti par l’art. 12 Cst. ne vise pas la personne qui peut, de façon actuelle, effectivement et légalement se procurer les moyens nécessaires à son existence (Arrêt du Tribunal fédéral 2P.147/2002 du 4 mars 2003, consid. 3.3.).</w:t>
      </w:r>
    </w:p>
    <w:p>
      <w:r>
        <w:t>L’aide sociale est soumise au principe de subsidiarité. La personne dans le besoin doit avoir épuisé les possibilités d’auto-prise en charge, les engagements de tiers et les prestations volontaires de tiers (F. WOLFFERS, op. cit., p. 77).</w:t>
      </w:r>
    </w:p>
    <w:p>
      <w:r>
        <w:rPr>
          <w:b/>
        </w:rPr>
        <w:t>E. 3</w:t>
      </w:r>
    </w:p>
    <w:p>
      <w:r>
        <w:t>a. En droit genevois, c’est la LIASI qui concrétise l’art. 12 Cst. (ATA/440/2009 du 8 septembre 2009 ; ATA/809/2005 du 29 novembre 2005 et les références citées).</w:t>
      </w:r>
    </w:p>
    <w:p>
      <w:r>
        <w:t>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w:t>
      </w:r>
    </w:p>
    <w:p>
      <w:r>
        <w:t>- 9/11 - A/761/2011</w:t>
      </w:r>
    </w:p>
    <w:p>
      <w:r>
        <w:t>e. Selon l’art. 28 al. 1 LIASI, le droit aux prestations d’aide financière naît dès que les conditions de la loi sont remplies mais au plus tôt le premier jour du mois du dépôt de la demande.</w:t>
      </w:r>
    </w:p>
    <w:p>
      <w:r>
        <w:t>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(ATA/693/2011 du 8 novembre 2011 ; ATA/660/2010 du 21 septembre 2010).</w:t>
      </w:r>
    </w:p>
    <w:p>
      <w:r>
        <w:t>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ATA/440/2009 du 8 septembre 2009 ; ATA/288/2010 du 27 avril 2010).</w:t>
      </w:r>
    </w:p>
    <w:p>
      <w:r>
        <w:t>En vertu du principe de subsidiarité, le SPC n’a pas à fournir des prestations d’assistance en l’absence de situation d’indigence et de la preuve de l’incapacité effective à obtenir l’aide promise (ATA/693/2011 précité).</w:t>
      </w:r>
    </w:p>
    <w:p>
      <w:r>
        <w:rPr>
          <w:b/>
        </w:rPr>
        <w:t>E. 4</w:t>
      </w:r>
    </w:p>
    <w:p>
      <w:r>
        <w:t>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(ATA/693/2011 précité ; ATA/184/2004 du 2 mars 2004).</w:t>
      </w:r>
    </w:p>
    <w:p>
      <w:r>
        <w:rPr>
          <w:b/>
        </w:rPr>
        <w:t>E. 5</w:t>
      </w:r>
    </w:p>
    <w:p>
      <w:r>
        <w:t>En l’espèce, en 1999, la fille de la recourante a signé auprès de l’OCP un engagement d’entretien en faveur de sa mère, afin que celle-ci obtienne un permis de séjour en Suisse.</w:t>
      </w:r>
    </w:p>
    <w:p>
      <w:r>
        <w:t>Plus de douze ans se sont écoulés depuis. La recourante est une femme âgée de près de 77 ans, qui allègue être moralement épuisée du fait d’un important conflit familial et qui souhaite vivre indépendamment de sa fille et son beau-fils.</w:t>
      </w:r>
    </w:p>
    <w:p>
      <w:r>
        <w:t>Selon la fille de la recourante, ledit conflit avait des conséquences néfastes sur l’ensemble des relations familiales. Il était impératif que sa mère trouve un autre logement.</w:t>
      </w:r>
    </w:p>
    <w:p>
      <w:r>
        <w:t>La fille et le gendre de la recourante sont propriétaires de l’appartement qu’ils occupent avec celle-ci. Au vu des éléments fournis, la garante ne se trouve pas dans une situation financière telle qu’il lui soit impossible de tenir son engagement de pourvoir à l’entretien de sa mère.</w:t>
      </w:r>
    </w:p>
    <w:p>
      <w:r>
        <w:t>- 10/11 - A/761/2011</w:t>
      </w:r>
    </w:p>
    <w:p>
      <w:r>
        <w:t>La situation de la recourante, de sa fille et de son gendre n’a pas subi de modifications telles que l’Etat devrait se substituer à la famille pour fournir l’aide financière dont l’intéressée allègue avoir besoin. L’engagement d’entretien signé en 1999 doit être assumé par la garante. Il incombe prioritairement à cette dernière d’aider sa mère à trouver une solution pour loger ailleurs, dans la mesure où le conflit allégué ne constitue pas un motif suffisant pour obtenir l’aide sociale. En vertu du principe de subsidiarité, l’engagement pris par la fille de la recourante permettait au SPC de refuser l’octroi des prestations d’assistance sollicitées. Au vu de ce qui précède, aucun élément ne permet de revenir sur l’appréciation faite par l’autorité intimée, qui ne pouvait pas tenir compte davantage de la situation familiale des intéressés.</w:t>
      </w:r>
    </w:p>
    <w:p>
      <w:r>
        <w:rPr>
          <w:b/>
        </w:rPr>
        <w:t>E. 6</w:t>
      </w:r>
    </w:p>
    <w:p>
      <w:r>
        <w:t>Mal fondé, le recours sera rejeté.</w:t>
      </w:r>
    </w:p>
    <w:p>
      <w:r>
        <w:rPr>
          <w:b/>
        </w:rPr>
        <w:t>E. 7</w:t>
      </w:r>
    </w:p>
    <w:p>
      <w:r>
        <w:t>Vu la nature du litige, aucun émolument ne sera perçu (art. 87 de la loi sur la procédure administrative du 12 septembre 1985 - LPA - E 5 10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