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ATA/125/2011 vom 1. März 2011</w:t>
      </w:r>
    </w:p>
    <w:p>
      <w:r>
        <w:t>GE Cour de justice, 2011-03-01, FR</w:t>
      </w:r>
    </w:p>
    <w:p>
      <w:r>
        <w:rPr>
          <w:b/>
        </w:rPr>
        <w:t xml:space="preserve">Quelle: </w:t>
      </w:r>
      <w:r>
        <w:t>https://mcp.opencaselaw.ch/entscheid/ge_gerichte_ATA_125_2011</w:t>
      </w:r>
    </w:p>
    <w:p>
      <w:r>
        <w:t>FR: GE_GERICHTE ATA/125/2011 du 1 mars 2011</w:t>
      </w:r>
    </w:p>
    <w:p>
      <w:r>
        <w:t>IT: GE_GERICHTE ATA/125/2011 del 1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w:t>
      </w:r>
    </w:p>
    <w:p>
      <w:r>
        <w:rPr>
          <w:b/>
        </w:rPr>
        <w:t>E. 2</w:t>
      </w:r>
    </w:p>
    <w:p>
      <w:r>
        <w:t>a. 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w:t>
      </w:r>
    </w:p>
    <w:p>
      <w:r>
        <w:t>b. Cette modification législative a notamment entraîné l'abrogation de l'ancien art. 56B al. 4 aLOJ. Depuis lors, le Tribunal administratif était compétent, en sa qualité d'autorité supérieure ordinaire de recours en matière administrative, pour connaître également des recours contre les décisions concernant le statut et les rapports de service des fonctionnaires et autres membres du personnel de l’Etat (art. 56A al. 1 et 2 aLOJ). Quant à l'art. 56G aLOJ qui réglementait l'ancienne action pécuniaire largement utilisée pour régler le contentieux financier de la fonction publique, sa teneur a été modifiée. Devenue « action contractuelle », elle était réservée aux prétentions fondées sur le droit public qui ne pouvaient pas faire l’objet d’une décision et qui découlaient d’un contrat de droit public.</w:t>
      </w:r>
    </w:p>
    <w:p>
      <w:r>
        <w:t>Depuis le 1er janvier 2011, ces dispositions légales se retrouvent dans l’art. 132 al. 2 et 3 LOJ dans sa teneur au 1er janvier 2011. La chambre administrative est ainsi compétente pour statuer.</w:t>
      </w:r>
    </w:p>
    <w:p>
      <w:r>
        <w:rPr>
          <w:b/>
        </w:rPr>
        <w:t>E. 3</w:t>
      </w:r>
    </w:p>
    <w:p>
      <w:r>
        <w:t>En application de la nouvelle législation entrée en vigueur le 1er janvier 2009, le fonctionnaire ne peut plus intenter une action pécuniaire pour des prétentions fondées sur les rapports de service. Il doit formuler ses prétentions auprès de l’autorité qui, selon lui, viole ses droits (art. 4A de la de la loi sur la</w:t>
      </w:r>
    </w:p>
    <w:p>
      <w:r>
        <w:t>- 5/6 - A/4294/2010 procédure administrative du 12 septembre 1985 - LPA - E 5 10). L’autorité ouvre alors une procédure qui est régie par la LPA. Après avoir instruit la cause, l’autorité concernée prend une décision sujette à recours. L’ouverture de cette voie de recours est le pendant de la restriction apportée au champ d’application de l’art. 132 al. 3 LOJ qui réserve désormais l’action pécuniaire aux seules prétentions fondées sur les contrats de droit public (ATA/575/2009 du 10 novembre 2009 et les réf. citées).</w:t>
      </w:r>
    </w:p>
    <w:p>
      <w:r>
        <w:rPr>
          <w:b/>
        </w:rPr>
        <w:t>E. 4</w:t>
      </w:r>
    </w:p>
    <w:p>
      <w:r>
        <w:t>Dans sa demande, Mme X______ conclut à ce que la fondation soit condamnée au paiement de différentes sommes découlant des rapports de service. Ses conclusions ont été formées pour la première fois devant la chambre de céans ; elles n’ont fait l’objet d’aucune procédure préalable et n’ont pas donné lieu à une décision sujette à recours.</w:t>
      </w:r>
    </w:p>
    <w:p>
      <w:r>
        <w:t>Partant, l’action est irrecevable.</w:t>
      </w:r>
    </w:p>
    <w:p>
      <w:r>
        <w:rPr>
          <w:b/>
        </w:rPr>
        <w:t>E. 5</w:t>
      </w:r>
    </w:p>
    <w:p>
      <w:r>
        <w:t>La cause sera transmise à la fondation pour qu’elle instruise cette demande et statue par une décision sujette à recours (ATA/256/2010 du 20 avril 2010 et les réf. citées), sans que la chambre de céans ne traite le fond du litige, ni la question de savoir si ce dernier ressort du droit public ou du droit privé.</w:t>
      </w:r>
    </w:p>
    <w:p>
      <w:r>
        <w:t>Vu l’issue du litige, un émolument de CHF 1'000.- sera mis à la charge de Mme X______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