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ATA/1258/2015 vom 24. November 2015</w:t>
      </w:r>
    </w:p>
    <w:p>
      <w:r>
        <w:t>GE Cour de justice, 2015-11-24, FR</w:t>
      </w:r>
    </w:p>
    <w:p>
      <w:r>
        <w:rPr>
          <w:b/>
        </w:rPr>
        <w:t xml:space="preserve">Quelle: </w:t>
      </w:r>
      <w:r>
        <w:t>https://mcp.opencaselaw.ch/entscheid/ge_gerichte_ATA_1258_2015</w:t>
      </w:r>
    </w:p>
    <w:p>
      <w:r>
        <w:t>FR: GE_GERICHTE ATA/1258/2015 du 24 novembre 2015</w:t>
      </w:r>
    </w:p>
    <w:p>
      <w:r>
        <w:t>IT: GE_GERICHTE ATA/1258/2015 del 24 novembre 2015</w:t>
      </w:r>
    </w:p>
    <w:p>
      <w:pPr>
        <w:pStyle w:val="Heading2"/>
      </w:pPr>
      <w:r>
        <w:t>Regeste</w:t>
      </w:r>
    </w:p>
    <w:p>
      <w:r>
        <w:t>Résumé: Confirmation de l'injonction faite au propriétaire d'une arcade, perturbateur par situation, dans laquelle est exploité un bar, d'enlever ou de requérir une autorisation de construire concernant une ventilation installée sans droit, alors que l'autorisation de construire délivrée lors de la transformation des locaux, entrée en force, réservait le dépôt d'une autorisation complémentaire en cas de montage d'une hotte.</w:t>
      </w:r>
    </w:p>
    <w:p>
      <w:pPr>
        <w:pStyle w:val="Heading2"/>
      </w:pPr>
      <w:r>
        <w:t>Erwägungen</w:t>
      </w:r>
    </w:p>
    <w:p>
      <w:r>
        <w:rPr>
          <w:b/>
        </w:rPr>
        <w:t>E. 12</w:t>
      </w:r>
    </w:p>
    <w:p>
      <w:r>
        <w:t>février 2014 ; ATA/152/2010 du 9 mars 2010). Le perturbateur par situation correspond avant tout au propriétaire, mais il peut également s’agir notamment du locataire, le critère déterminant étant le pouvoir de disposition, qui permet à celui qui le détient de maintenir la chose dans un état conforme à la réglementation en vigueur (ATF 114 Ib 44 consid. 2c/aa). En matière de police des constructions, l’acquéreur d’un fonds est réputé entrer en possession de celui-ci avec les droits et obligations qui lui sont rattachés (arrêt du Tribunal fédéral 1C_24/2012 du 19 avril 2012 consid. 3 ; ATA/868/2014 du 11 novembre 2014).</w:t>
      </w:r>
    </w:p>
    <w:p>
      <w:r>
        <w:t>d. L’autorité ne doit pas avoir créé chez l’administré concerné, par des promesses, des informations, des assurances ou un comportement, des conditions telles qu’elle serait liée par le principe de la protection de la bonne foi au sens des art. 5 al. 3 et 9 Cst. (ATF 117 Ia 285 consid 2b ; ATA/569/2015 du 2 juin 2015 ; ATA/700/2014 du 2 septembre 2014 ; ATA/83/2009 du 17 février 2009), étant précisé que la passivité de l’autorité, qui n’intervient pas immédiatement à l’encontre d’une construction non autorisée, n’est en règle générale pas constitutive d’une autorisation tacite ou d’une renonciation à faire respecter les dispositions transgressées (ATA/824/2015 précité ; ATA/700/2014 précité ; ATA/529/1999 du 7 septembre 1999).</w:t>
      </w:r>
    </w:p>
    <w:p>
      <w:r>
        <w:t>e. Lorsque le département invite au dépôt d’une demande d'autorisation de construire, il ne statue pas par voie de décision au sens de l’art. 4 al. 1 LPA. Il s’agit d’une démarche tendant à poser un cadre formel en initiant une procédure après constatation qu’une construction a été érigée sans droit. Cela ne présuppose</w:t>
      </w:r>
    </w:p>
    <w:p>
      <w:r>
        <w:t>- 13/16 - A/2837/2013 pas encore que l’autorisation de construire sera délivrée. Autrement dit, il s’agit d’une étape menant par la suite à la prise d’une décision. Ni le destinataire, ni un tiers ne voient leurs droits touchés par cette invite. Faute d’effet juridique rattaché à celle-ci, elle ne constitue donc pas une décision contre laquelle son destinataire et encore moins un tiers pourraient recourir. Au demeurant, l’invitation à déposer une demande d'autorisation de construire ne fait pas partie des mesures administratives énumérées par l’art. 129 LCI contre lesquelles un recours est admis. Il ne serait d’ailleurs pas conforme à la systématique de la LCI de faire figurer l’invitation à requérir une autorisation de construire parmi le catalogue des mesures administratives puisque celles-ci sont justement dispensées de la procédure d’autorisation. S’il est vrai que la doctrine considère qu’il ne sert à rien de demander une autorisation de construire en vue de régularisation lorsque la construction viole gravement le droit (Piermarco ZEN-RUFFINEN/ Christine GUY-ECABERT, Aménagement, construction, expropriation, 2001, p. 425), cela ne signifie pas encore que le département aurait l’interdiction de procéder de la sorte. Au contraire, passer par une procédure en autorisation de construire en bonne et due forme est la meilleure manière de garantir les droits du détenteur de la construction et des tiers puisqu’elle mène à une décision dont la publicité est assurée au début puis au terme de la procédure (ATA/544/2014 du</w:t>
      </w:r>
    </w:p>
    <w:p>
      <w:r>
        <w:rPr>
          <w:b/>
        </w:rPr>
        <w:t>E. 17</w:t>
      </w:r>
    </w:p>
    <w:p>
      <w:r>
        <w:t>juillet 2014). 4)</w:t>
      </w:r>
    </w:p>
    <w:p>
      <w:r>
        <w:t>En l’espèce, l’existence d’une hotte de ventilation dans la cuisine de l’arcade, reliée à l’extérieur par une conduite d’aération posée de manière artisanale et donnant sur la cour intérieure de l’immeuble, sous le balcon des étages supérieurs, comme l’a relevé le TAPI lors du transport sur place ainsi que l’huissier dans son constat, n’est pas contestée.</w:t>
      </w:r>
    </w:p>
    <w:p>
      <w:r>
        <w:t>Il ressort du dossier que cette ventilation n’a fait l’objet d’aucune demande d’autorisation et qu’aucune autorisation n’a été délivrée à ce titre par les autorités compétentes. Ainsi, l’APA 22'539-2 du 23 avril 2004 en vue de la transformation de l’arcade en bar à café était subordonnée au respect des conditions figurant dans les préavis qui y étaient annexés, notamment la décision de l’OCIRT rendue le même jour, dont il ressort que l’établissement n’était pas équipé pour préparer ou servir de la restauration chaude, une hotte avec extraction en toiture devant le cas échéant être installée, sous réserve de l’obtention de l’autorisation correspondante. L’autorisation susmentionnée est entrée en force à l’issue de l’arrêt du</w:t>
      </w:r>
    </w:p>
    <w:p>
      <w:r>
        <w:rPr>
          <w:b/>
        </w:rPr>
        <w:t>E. 19</w:t>
      </w:r>
    </w:p>
    <w:p>
      <w:r>
        <w:t>septembre 2006, lequel a confirmé sa conformité aux dispositions légales applicables, y compris s’agissant de la décision de l’OCIRT, l’ancien Tribunal administratif ayant précisé qu’une autorisation complémentaire portant sur la construction d’une hotte avec extraction en toiture devait être sollicitée.</w:t>
      </w:r>
    </w:p>
    <w:p>
      <w:r>
        <w:t>Il importe peu que, comme l’allègue la recourante, la ventilation ait préexisté l’acquisition de l’arcade, les enquêtes ayant au demeurant permis de déterminer qu’elle avait été installée, sans autorisation, à tout le moins en 2003,</w:t>
      </w:r>
    </w:p>
    <w:p>
      <w:r>
        <w:t>- 14/16 - A/2837/2013 comme l’a indiqué M. VALLADE-BLANCHET devant la chambre de céans, et non pas, comme le soutient désormais la recourante, en 1982 déjà. Du point de vue du droit des constructions, il n’est pas non plus pertinent que l’installation en cause soit conforme à la préparation de petite restauration, comme l’a indiqué le SCAV, ce qui n’est en soi pas contesté, ou qu’elle soit ou non utilisée, sous peine de rendre vaine toute autorisation de construire. L’affirmation de la recourante, selon laquelle la ventilation n’aurait qu’un aspect décoratif, doit d’ailleurs être relativisée, notamment au vu de la décision du Scom ayant autorisé l’ouverture de l’établissement jusqu’à 2h00, pour autant qu’un service de restauration chaude soit assuré jusqu’à 1h30, malgré les déclarations contraires du locataire devant la chambre de céans.</w:t>
      </w:r>
    </w:p>
    <w:p>
      <w:r>
        <w:t>C’est également à juste titre que l’autorité s’est adressée à la recourante en sa qualité de propriétaire de l’arcade et de perturbateur par situation, puisqu’elle était déjà partie à la procédure contentieuse en lien avec l’autorisation de construire n° APA 22'539-2 suite à son acquisition en 2004, les anciens propriétaires ayant déposé la demande d’autorisation susmentionnée en 2003. Il n’apparaît du reste pas déterminant que la recourante ait remis le fonds de commerce au locataire de l’arcade, éléments relevant du droit privé et ne liant pas l’autorité administrative, la recourante continuant à exercer sur les locaux un pouvoir de droit au sens de la jurisprudence.</w:t>
      </w:r>
    </w:p>
    <w:p>
      <w:r>
        <w:t>Au vu de cette situation, le département devait ordonner à la recourante « d’enlever ou de requérir » une autorisation de construire concernant la ventilation, comme le prévoyait l’APA 22'539-2. Le fait qu’il ne soit pas intervenu plus tôt ne saurait lui être reproché ni constituer une autorisation tacite ou une renonciation à faire respecter les dispositions transgressées, conformément à la jurisprudence susmentionnée, étant précisé que l’arrêt du 19 septembre 2006 rappelait non pas au DALE, mais au DSE de vérifier que l’établissement en question ne servait que des mets froids, question qui n’est qu’indirectement liée à l’installation d’une ventilation, un contrôle systématique du département ne pouvant être exigé. C’est d’ailleurs bien la recourante qui devait intervenir activement, en déposant une demande d’autorisation de construire relative à la ventilation, comme le prévoyait l’APA 22'539-2, confirmé par l’ATA/501/2006 précité.</w:t>
      </w:r>
    </w:p>
    <w:p>
      <w:r>
        <w:t>La mesure ordonnée ne saurait être qualifiée de disproportionnée, dès lors que le département s’est limité, en invitant la recourante à déposer une demande d’autorisation de construire, à poser un cadre formel visant à initier une procédure, au terme de laquelle cette requête doit être examinée et permettant, le cas échéant, si elle est refusée, de rétablir une situation conforme au droit. C’est dès lors à juste titre que le TAPI a considéré que les griefs soulevés par la recourante en lien avec cette demande étaient prématurés, à défaut d’avoir été, en l’état, déposée.</w:t>
      </w:r>
    </w:p>
    <w:p>
      <w:r>
        <w:t>- 15/16 - A/2837/2013 5)</w:t>
      </w:r>
    </w:p>
    <w:p>
      <w:r>
        <w:t>Il s’ensuit que le recours sera rejeté. 6)</w:t>
      </w:r>
    </w:p>
    <w:p>
      <w:r>
        <w:t>Un émolument de CHF 1'000.- sera mis à la charge de la recourante, qui succombe, et aucune indemnité de procédure ne lui sera allouée (art. 87 al. 1 et 2 LPA). En revanche, une indemnité de procédure de CHF 1'000.-, à la charge de la société, sera accordée à la communauté,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