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ATA/1257/2020 vom 10. Dezember 2020</w:t>
      </w:r>
    </w:p>
    <w:p>
      <w:r>
        <w:t>GE Cour de justice, 2020-12-10, FR</w:t>
      </w:r>
    </w:p>
    <w:p>
      <w:r>
        <w:rPr>
          <w:b/>
        </w:rPr>
        <w:t xml:space="preserve">Quelle: </w:t>
      </w:r>
      <w:r>
        <w:t>https://mcp.opencaselaw.ch/entscheid/ge_gerichte_ATA_1257_2020</w:t>
      </w:r>
    </w:p>
    <w:p>
      <w:r>
        <w:t>FR: GE_GERICHTE ATA/1257/2020 du 10 décembre 2020</w:t>
      </w:r>
    </w:p>
    <w:p>
      <w:r>
        <w:t>IT: GE_GERICHTE ATA/1257/2020 del 10 dicembre 2020</w:t>
      </w:r>
    </w:p>
    <w:p>
      <w:pPr>
        <w:pStyle w:val="Heading2"/>
      </w:pPr>
      <w:r>
        <w:t>Erwägungen</w:t>
      </w:r>
    </w:p>
    <w:p>
      <w:r>
        <w:rPr>
          <w:b/>
        </w:rPr>
        <w:t>E. 7</w:t>
      </w:r>
    </w:p>
    <w:p>
      <w:r>
        <w:t>avril 2006 (LS - K 1 03), en particulier son article 101 al. 2 let. d LS, ce qui justifiait une mesure provisionnelle jusqu'à ce que les déviations constatées soient définitivement corrigées. 10) La clinique a formé recours le 9 novembre 2020 contre la décision du 27 octobre 2020 et a conclu préalablement à la restitution de l'effet suspensif et, au fond, à l'annulation de ladite décision (cause A/3639/2020).</w:t>
      </w:r>
    </w:p>
    <w:p>
      <w:r>
        <w:t>- 6/10 - A/3639/2020 Aucun incident n'était intervenu depuis l'exploitation des blocs autorisée le 7 septembre 2020. Le personnel médical avait apprécié les conditions de travail et constaté les améliorations apportées. Les remarques faites par la DGS les 17 et 22 septembre, puis le 13 octobre 2020, portant pour la plupart objectivement sur des détails, quand elles ne concernaient pas du tout la question des blocs, avaient immédiatement été corrigées. Chacune de ces remarques, qui ne justifiait ni individuellement, ni collectivement la fermeture litigieuse, semblait poursuivre des motifs douteux en sortant de leur contexte tel ou tel constat pour ensuite en faire le reproche à la recourante. « Pire », la DGS cherchait à revenir sur les termes de la décision de la chambre administrative du 22 mai 2020 alors qu'elle n'en avait pas la compétence de sorte que sa décision de fermeture était impossible. 11) La DGS a conclu le 20 novembre 2020 au rejet de la demande de restitution de l'effet suspensif.</w:t>
      </w:r>
    </w:p>
    <w:p>
      <w:r>
        <w:t>Les faits de la cause démontraient des manquements graves et répétés sur les plans de l'hygiène et de l'organisation, sans améliorations notables. Ce dysfonctionnement faisait courir des risques, notamment infectieux, pour la santé et la sécurité de patients pris en charge par la clinique. Nonobstant une période de plusieurs mois entre la décision de la chambre administrative et la réouverture, partielle, des blocs, durant laquelle des collaborateurs du service du médecin cantonal s'étaient rendus sur place à de multiples reprises, la clinique s'était montrée incapable de remédier aux défauts d'hygiène relevés et n'avait pas trouvé de remèdes définitif et radical, ce qui de surcroît avait mis à mal le lien de confiance indispensable devant exister entre les institutions de santé. Dans ces conditions, la sauvegarde de la santé des patients constituait un intérêt public primant sans aucune doute l'intérêt privé de la recourante d'être mise au bénéfice de l'effet suspensif.</w:t>
      </w:r>
    </w:p>
    <w:p>
      <w:r>
        <w:t>En tout état, la médecin cantonale n'avait pas outrepassé sa compétence dans la mesure où l'arrêt de la chambre administrative du 22 mai 2020 mentionnait que le non respect des règles prescrites pour une ouverture partielle des blocs entraînerait l'arrêt immédiat de l'activité. 12) La recourante a, le 30 novembre 2020, persisté dans sa demande de restitution d’effet suspensif et relevé qu'un transport sur place pourrait se tenir en même temps que la comparution personnelle des parties le lundi 14 décembre 2020.</w:t>
      </w:r>
    </w:p>
    <w:p>
      <w:r>
        <w:t>La décision litigieuse entraînait la fermeture pour la deuxième fois en moins d'une année, au motif qu'« il manquait ici un chronomètre, là tel ou tel formulaire » d'une clinique en fonction depuis plusieurs dizaines d'années. La présentation des faits de la DGS était trompeuse et omettait totalement de prendre en compte les observations lui ayant été systématiquement transmises dans les heures ayant suivi chacune des inspections. « Les motifs allégués confinaient au procès d'intention fondés sur un effet de nombre, en montant en épingle, ici ou là, n'hésitant pas à présenter des positions différentes, au gré des inspections, comme par exemple sur la désinfection ou sur les tenues vestimentaires ».</w:t>
      </w:r>
    </w:p>
    <w:p>
      <w:r>
        <w:t>- 7/10 - A/3639/2020</w:t>
      </w:r>
    </w:p>
    <w:p>
      <w:r>
        <w:t>La clinique n'avait pas été fermée après les inspections des 15 et 22 septembre 2020, ce qui démontrait qu'il n'y avait rien été constaté de dirimant à son exploitation. Le 13 octobre 2020, les problèmes relevés dans les blocs 1 et 2 ne justifiaient pas cette fermeture. Les reproches étaient avant tout souvent théoriques et fondés sur une interprétation changeante, rigoriste au point de confiner au formalisme excessif, ce que les médecins habitués à intervenir dans toutes les cliniques du canton pourraient confirmer. La DGS, à qui incombait le fardeau de la preuve au vu de la gravité de la décision prise, n'avait pas démontré que cette fermeture était l'ultima ratio pour assurer la sécurité des patients. Ladite sécurité n'étant pas en jeu, l'intérêt à la survie de la clinique et au maintien des quarante collaborateurs devait prévaloir. 13) Le 3 décembre 2020, les parties ont été informées que la cause était gardée à juger sur effet suspensif.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w:t>
      </w:r>
    </w:p>
    <w:p>
      <w:r>
        <w:rPr>
          <w:b/>
        </w:rPr>
        <w:t>E. 9</w:t>
      </w:r>
    </w:p>
    <w:p>
      <w:r>
        <w:t>novembre 2016).</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w:t>
      </w:r>
    </w:p>
    <w:p>
      <w:r>
        <w:t>- 8/10 - A/3639/2020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Ainsi, la chambre administrative n'accèdera pas à la demande de la recourante d'un nouveau transport sur place dans le cadre de l'examen de la pesée des intérêts en cause, les pièces versées à la procédure la renseignant suffisamment pour rendre la présente décision. 8) Le critère de l'urgence commandant qu'il soit statué sur des mesures provisionnelles est réalisé dès lors que les blocs opératoires de la clinique sont fermés depuis le 27 octobre 2020. 9) Les chances de succès du recours ne sont en l'espèce prima facie pas manifestes.</w:t>
      </w:r>
    </w:p>
    <w:p>
      <w:r>
        <w:t>En cas d'activités contraires à la LS, le département est fondé à engager une procédure visant à faire cesser l'état de fait illégal (art. 126 LS). En outre, la LS prévoit la possibilité d'infliger des sanctions disciplinaires aux professionnels de la santé (art. 127 al. 1 LS), aux institutions de santé (art. 127 al. 3 LS) ainsi qu'aux personnes exerçant des pratiques complémentaires (art. 127 al. 4 LS).</w:t>
      </w:r>
    </w:p>
    <w:p>
      <w:r>
        <w:t>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w:t>
      </w:r>
    </w:p>
    <w:p>
      <w:r>
        <w:t>En l'espèce, les problèmes mis en exergue dans les trois rapports du GRESI, suite à la réouverture partielle des salles d'opération n° 1 et 2 selon décision de la DGS du 7 septembre 2020 et aux inspections effectuées les 15 et 22 septembre, puis le 13 octobre 2020 n'apparaissent prima facie pas si anodins que le soutient la recourante. Il s'agit en effet notamment du « respect des règles de base concernant la prévention en hygiène</w:t>
      </w:r>
    </w:p>
    <w:p>
      <w:r>
        <w:t>- 9/10 - A/3639/2020 hospitalière [qui] n'est pas garanti », respect de la délimitation « zone propre, zone sale », les connaissance et respect par le personnel des règles fondamentales, et la désinfection des instruments. Les carences relevées sont a priori susceptibles d'avoir des conséquences sur la santé des personnes opérées dans les salles d'opération concernées, en particulier au niveau des risques infectieux.</w:t>
      </w:r>
    </w:p>
    <w:p>
      <w:r>
        <w:t>Ainsi, l'intérêt public mis en avant par l'autorité intimée apparaît déterminant face à l'intérêt privé de la clinique à continuer à utiliser ses installations.</w:t>
      </w:r>
    </w:p>
    <w:p>
      <w:r>
        <w:t>Enfin, la réouverture des salles d'opération 1 et 2 avait été autorisée par la chambre de céans le 22 mai 2020 à des conditions strictes, dont le non-respect entraînerait l'arrêt immédiat de l'activité. Certaines des conditions n'ayant a priori pas été strictement respectées selon les constatations du GRESI, rien n'empêchait la DGS d'interdire leur utilisation. 10) Au vu de ce qui précède, la requête en mesures provisionnelles sera rejetée.</w:t>
      </w:r>
    </w:p>
    <w:p>
      <w:r>
        <w:t>Le sort des frais sera réservé jusqu'à droit jugé au fond. LA CHAMBRE ADMINISTRATIVE rejette la demande de restitution de l’effet suspensif au recours formé par A______ contre la décision sur mesures provisionnelles prise par le médecin cantonal le 27 octobre 2020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de la recourante, ainsi qu'à la direction générale de la santé.</w:t>
      </w:r>
    </w:p>
    <w:p>
      <w:r>
        <w:t>Le président :</w:t>
      </w:r>
    </w:p>
    <w:p>
      <w:r>
        <w:t>C. Mascotto</w:t>
      </w:r>
    </w:p>
    <w:p>
      <w:r>
        <w:t>Copie conforme de cette décision a été communiquée aux parties.</w:t>
      </w:r>
    </w:p>
    <w:p>
      <w:r>
        <w:t>- 10/10 - A/3639/2020</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