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ATA/1256/2025 vom 11. November 2025</w:t>
      </w:r>
    </w:p>
    <w:p>
      <w:r>
        <w:t>GE Cour de justice, 2025-11-11, FR</w:t>
      </w:r>
    </w:p>
    <w:p>
      <w:r>
        <w:rPr>
          <w:b/>
        </w:rPr>
        <w:t xml:space="preserve">Quelle: </w:t>
      </w:r>
      <w:r>
        <w:t>https://mcp.opencaselaw.ch/entscheid/ge_gerichte_ATA_1256_2025</w:t>
      </w:r>
    </w:p>
    <w:p>
      <w:r>
        <w:t>FR: GE_GERICHTE ATA/1256/2025 du 11 novembre 2025</w:t>
      </w:r>
    </w:p>
    <w:p>
      <w:r>
        <w:t>IT: GE_GERICHTE ATA/1256/2025 del 11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3</w:t>
      </w:r>
    </w:p>
    <w:p>
      <w:r>
        <w:t>À titre préalable, le recourant sollicite l'audition de six témoins.</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lorsque cela est de nature à influer sur la décision à rendre (ATF 145 I 73 consid. 7.2.2.1 ; arrêt du Tribunal fédéral 1C_157/2021 du 7 juillet 2021 consid. 3.1). Le droit d’être entendu n'implique pas une audition personnelle de l'intéressé, celui-ci devant simplement disposer d'une occasion de se déterminer sur les éléments propres à influer sur l'issue de la cause (art. 41 LPA ; ATA/242/2023 du 14 mars 2023 et les références citées).</w:t>
      </w:r>
    </w:p>
    <w:p>
      <w:r>
        <w:t>- 8/16 - A/528/2024</w:t>
      </w:r>
    </w:p>
    <w:p>
      <w:r>
        <w:rPr>
          <w:b/>
        </w:rPr>
        <w:t>E. 3.2</w:t>
      </w:r>
    </w:p>
    <w:p>
      <w:r>
        <w:t>En l'occurrence, le recourant a eu à maintes reprises la possibilité, tant dans le cours de la procédure conduite par l'OCPM que devant le TAPI puis la chambre de céans, de donner toutes les explications et de produire toutes les pièces qu'il estimait utiles à la défense de sa cause. Il a notamment produit de nombreuses attestations rédigées par des amis et connaissances. Sur les six témoins dont il sollicite l'audition, l'un, L______, a déjà été entendu par le TP alors que les cinq autres sont les auteurs d'attestations versées à la procédure. Le recourant n'explique pas sur quels points, non déjà mentionnés dans leurs témoignage ou attestations, ces personnes devraient être entendues, ni pour quelle raison il avait renoncé à solliciter de leur part des attestations complémentaires. Au vu d'une part de l'ancienneté des faits et d'autre part du caractère occasionnel de leurs contacts avec le recourant, il n'apparaît au demeurant pas qu'elles auraient pu apporter des éléments utiles concernant la principale question de fait contestée en instance de recours, soit sa présence à Genève de 2008 à 2013 et son caractère continu. Il ne sera en conséquence pas donné suite à la demande d'actes d'instruction formulée par le recourant, la chambre de céans disposant pour le surplus d'un dossier complet.</w:t>
      </w:r>
    </w:p>
    <w:p>
      <w:r>
        <w:rPr>
          <w:b/>
        </w:rPr>
        <w:t>E. 4</w:t>
      </w:r>
    </w:p>
    <w:p>
      <w:r>
        <w:t>février 2019 par l'AFD puis lors d'une audience pénale tenue le 28 mai 2019, qu'il s'agissait du 4 février 2013. Ces premières déclarations, faites avant que le recourant ne réalise l'importance de la durée de sa présence en Suisse, revêtent une portée probante accrue. Ce n'est qu'en juin 2019, dans le cadre de sa demande de</w:t>
      </w:r>
    </w:p>
    <w:p>
      <w:r>
        <w:t>- 10/16 - A/528/2024 régularisation et après avoir consulté un conseil, qu'il a pour la première fois allégué avoir résidé de manière continue en Suisse dès 2008, version à laquelle il s'est depuis lors tenu. Les pièces et attestations écrites de son entourage, qu'il a produites, ne permettent pour leur part pas de retenir une présence en Suisse autre qu'épisodique entre 2008 et 2012. C'est en particulier le cas des attestations de salaire pour cette période, qui de son propre aveu lui ont été remises plusieurs années plus tard par une personne dont il n'est pas en mesure de donner l'identité, et qui sont contredites par les relevés AVS figurant au dossier. Quant aux attestations d'amis et de connaissances, elles ne font état que de rencontres occasionnelles, plus ou moins régulières, compatibles avec une présence épisodique et intermittente à Genève, et de propos émanant de l'intéressé lui-même. Fait en revanche défaut, sous réserve d'une attestation de J______ paraissant concerner une période postérieure, tout contrat de bail ou de sous-location, ou toute attestation d'une personne ayant durablement logé le recourant pendant cette période. Au vu de ces éléments, en particulier à la valeur probante accrue qu'il y a lieu d'accorder à ses premières déclarations, c'est à juste titre que le TAPI a considéré qu'une présence en Suisse du recourant de 2008 à 2013 n'était pas établie.</w:t>
      </w:r>
    </w:p>
    <w:p>
      <w:r>
        <w:rPr>
          <w:b/>
        </w:rPr>
        <w:t>E. 4.1</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128 II 139 consid. 2b ; arrêts du Tribunal fédéral 8C_307/2024 du 25 novembre 2024 consid. 5.2 ; 9C_222/2024 du 24 juin 2024 consid. 5.2.2 ; ATA/547/2025 du 14 mai 2025 consid. 3.5 ; ATA/172/2025 du 18 février 2025 consid. 5.2).</w:t>
      </w:r>
    </w:p>
    <w:p>
      <w:r>
        <w:rPr>
          <w:b/>
        </w:rPr>
        <w:t>E. 4.2</w:t>
      </w:r>
    </w:p>
    <w:p>
      <w:r>
        <w:t>En procédure administrative, tant fédérale que cantonale, la constatation des faits est gouvernée par le principe de la libre appréciation des preuves (art. 20 al. 1 2e phr. LPA ; ATF 139 II 185 consid. 9.2 ; 130 II 482 consid. 3.2 ; arrêt du Tribunal fédéral 2C_668/2011 du 12 avril 2011 consid. 3.3 ; ATA/991/2016 précité consid. 3b). Le juge forme ainsi librement sa conviction en analysant la force</w:t>
      </w:r>
    </w:p>
    <w:p>
      <w:r>
        <w:t>- 9/16 - A/528/2024 probante des preuves administrées et ce n’est ni le genre, ni le nombre des preuves qui est déterminant, mais leur force de persuasion (ATA/991/2016 précité consid. 3b et les arrêts cités).</w:t>
      </w:r>
    </w:p>
    <w:p>
      <w:r>
        <w:rPr>
          <w:b/>
        </w:rPr>
        <w:t>E. 4.3</w:t>
      </w:r>
    </w:p>
    <w:p>
      <w:r>
        <w:t>La jurisprudence pose le principe selon lequel l'autorité administrative est en principe liée par les constatations de fait d'un jugement pénal, notamment lorsque celui-ci a été rendu au terme d'une procédure publique ordinaire au cours de laquelle les parties ont été entendues et des témoins interrogés (arrêt du Tribunal fédéral 1C_312/2015 du 1er juillet 2015 consid. 3.1 ; ATA/1165/2020 du 17 novembre 2020 consid. 6 ; ATA/1060/2020 du 27 octobre 2020 consid. 7f).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arrêts cités).</w:t>
      </w:r>
    </w:p>
    <w:p>
      <w:r>
        <w:rPr>
          <w:b/>
        </w:rPr>
        <w:t>E. 4.4</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ATA/1093/2024 du 17 septembre 2024 consid. 3.4).</w:t>
      </w:r>
    </w:p>
    <w:p>
      <w:r>
        <w:rPr>
          <w:b/>
        </w:rPr>
        <w:t>E. 4.5</w:t>
      </w:r>
    </w:p>
    <w:p>
      <w:r>
        <w:t>Est principalement litigieuse en l'espèce, sous l'angle des faits, la question de savoir si le recourant a résidé de manière régulière et continue à Genève entre 2008 et 2012. Sur ce point, et contrairement à ce qu'il soutient, il ne peut tirer aucun argument en sa faveur du jugement pénal du 25 novembre 2021 prononçant son acquittement du chef d'accusation de tentative d'induction en erreur des autorités. Dans la mesure en effet où cette décision ne comporte aucune motivation écrite, on ignore sur quel état de faits le juge pénal s'est fondé, rien ne permettant en particulier de retenir qu'il aurait tenu pour établi que le recourant aurait résidé en Suisse de manière continue pendant la période litigieuse. Le verdict d'acquittement n'implique pas nécessairement une telle admission, étant rappelé que, selon les règles propres au droit pénal, la simple subsistance d'un doute raisonnable sur l'un des éléments constitutifs d'une infraction est de nature à conduire à un tel verdict. Le recourant lui-même a tenu des déclarations contradictoires sur la date de son arrivée en Suisse pour y travailler, indiquant notamment, lors de son audition du</w:t>
      </w:r>
    </w:p>
    <w:p>
      <w:r>
        <w:rPr>
          <w:b/>
        </w:rPr>
        <w:t>E. 4.6</w:t>
      </w:r>
    </w:p>
    <w:p>
      <w:r>
        <w:t>Pour le surplus, et bien qu'il critique sous l'angle de l'établissement des faits l'appréciation qu'a faite le TAPI de son intégration en Suisse et de l'intensité des liens qu'il y a créés, le recourant n'expose pas quel élément de fait aurait été retenu de manière inexacte. Le grief, qui relève ainsi de l'appréciation juridique des faits, sera en conséquence examiné ci-dessous.</w:t>
      </w:r>
    </w:p>
    <w:p>
      <w:r>
        <w:rPr>
          <w:b/>
        </w:rPr>
        <w:t>E. 5</w:t>
      </w:r>
    </w:p>
    <w:p>
      <w:r>
        <w:t>Le recourant reproche au TAPI un abus de son pouvoir d'appréciation dans l'application de l'art. 30 al. 1 let. b LEI.</w:t>
      </w:r>
    </w:p>
    <w:p>
      <w:r>
        <w:rPr>
          <w:b/>
        </w:rPr>
        <w:t>E. 5.1</w:t>
      </w:r>
    </w:p>
    <w:p>
      <w:r>
        <w:t>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1er janvier 2019 sont régies par le nouveau droit.</w:t>
      </w:r>
    </w:p>
    <w:p>
      <w:r>
        <w:rPr>
          <w:b/>
        </w:rPr>
        <w:t>E. 5.2</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w:t>
      </w:r>
    </w:p>
    <w:p>
      <w:r>
        <w:t>- 11/16 - A/528/2024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1er janvier 2025, ch. 5.6.10).</w:t>
      </w:r>
    </w:p>
    <w:p>
      <w:r>
        <w:rPr>
          <w:b/>
        </w:rPr>
        <w:t>E. 5.3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5.4</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ATA/332/2024 du 5 mars 2024 consid. 2.5).</w:t>
      </w:r>
    </w:p>
    <w:p>
      <w:r>
        <w:t>- 12/16 - A/528/2024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5.5</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5.6</w:t>
      </w:r>
    </w:p>
    <w:p>
      <w:r>
        <w:t>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w:t>
      </w:r>
    </w:p>
    <w:p>
      <w:r>
        <w:rPr>
          <w:b/>
        </w:rPr>
        <w:t>E. 5.7</w:t>
      </w:r>
    </w:p>
    <w:p>
      <w:r>
        <w:t>Comme vu ci-dessus, une présence continue en Suisse du recourant ne peut être retenue que depuis 2013, soit six ans avant le dépôt de sa demande d'autorisation et il y a aujourd’hui douze ans. S'il s'agit là certes d'une durée importante, elle doit être relativisée pour s'être déroulée dans l'illégalité de 2013 au 12 mars 2019, date à laquelle il a fait l'objet d'une ordonnance de renvoi, puis par tolérance depuis le dépôt en juin 2019 d'une demande d'autorisation de séjour. Encore faut-il relever, comme l'a fait le TAPI, que les pièces figurant au dossier, en particulier le compte AVS et le relevé des abonnements TPG, ne permettent pas d'établir un historique ininterrompu d'emplois entre 2013 et 2019. Le recourant se prévaut d'une intégration professionnelle remarquable. Le dossier démontre à cet égard qu'après avoir travaillé – de manière non continue et pour différents employeurs – de 2013 à 2019 dans le secteur du bâtiment (sanitaire et carrelage), il s'est mis à son compte en 2019 et exploite depuis lors une entreprise individuelle dans le même domaine. Les pièces qu'il a produites, en particulier les comptes de cette entreprise, permettent à cet égard de retenir qu'il en retire un revenu régulier et suffisant. Cela étant, et même si l'intégration professionnelle du recourant peut être considérée comme bonne, elle ne saurait être qualifiée de remarquable ou d'exceptionnelle au sens de la jurisprudence. Les compétences et connaissances professionnelles qu'il exploite au quotidien, loin d'être spécifiques au point d'être inutiles dans son pays d'origine, pourront au contraire y être mises à profit, étant précisé que l'expérience acquise en Suisse, en particulier en matière linguistique et de gestion d'une entreprise, seront pour lui un atout supplémentaire. Son ascension professionnelle, certes louable, ne peut de même être considérée remarquable au point de justifier qu'il soit dérogé aux mesures de limitation découlant de la législation. Il sera pour le surplus relevé qu'il a créé son entreprise</w:t>
      </w:r>
    </w:p>
    <w:p>
      <w:r>
        <w:t>- 13/16 - A/528/2024 individuelle en novembre 2019, soit quelques mois à peine après avoir fait l'objet de la part de l'OCPM d'une décision de renvoi, tentant ainsi de mettre les autorités devant le fait accompli. L'intégration sociale du recourant doit elle aussi être considérée bonne dans la mesure où celui-ci a établi maîtriser le français, ne jamais avoir fait appel à l'assistance publique et ne pas avoir de poursuite. Les nombreuses attestations qu'il a fournies démontrent par ailleurs qu'il s'est créé un réseau de connaissances et d'amis à Genève. Il s'agit toutefois là d'éléments pouvant être attendus de tout étranger résidant depuis plusieurs années dans le canton, ne dénotant pas en eux-mêmes une intégration particulièrement réussie. Il n'a pour le surplus ni allégué ni établi être membre d'associations locales, ou se livrer à des activités bénévoles. On ne saurait donc parler d'une intégration sociale remarquable, ce d'autant plus qu'il a été reconnu coupable à deux reprises, en 2019 et en 2021, d'infractions à la LEI. Le recourant est né au Kosovo, où il a passé son enfance, son adolescence et le début de sa vie d'adulte, ne le quittant pour la Suisse qu'à l'âge de 27 ans. Il en connaît la langue, les us et coutumes, et y a encore une partie de sa famille. Lors de son audition par l'AFD en 2019, il a indiqué y passer ses vacances et, depuis cette date, a sollicité à plusieurs reprises des visas de retour. On peut donc penser qu'après une période de réadaptation il s'intégrera à nouveau sans difficultés particulières dans le tissu économique et social de son pays d'origine. Faisant valoir s'être construit une vie en Suisse et avoir tourné le dos à son pays d'origine, le recourant invoque enfin qu'un retour le placerait dans une profonde détresse sur les plans personnel et économique, sans amis, sans cadre socio-professionnel et devant redémarrer à zéro. Il ne s'agit toutefois pas de comparer sa situation s'il était autorisé à rester en Suisse à celle qu'il connaîtrait en cas de retour dans son pays d'origine, mais d'examiner si, dans cette seconde hypothèse, il se trouverait dans une situation si grave qu'on ne pourrait exiger de sa part qu'il tente de se réadapter à son existence passée, ce qui n'est pas le cas en l'espèce, étant rappelé que des circonstances générales affectant l'ensemble de la population restée sur place, en lien avec la situation économique, sociale, sanitaire ou scolaire y régnant et auxquelles la personne requérante serait également exposée à son retour, ne sauraient être prises en considération. Au vu de ce qui précède, l’OCPM n’a pas violé la loi ni commis un abus de son pouvoir d’appréciation en refusant de préaviser favorablement auprès du SEM la demande d’autorisation de séjour présentée par le recourant.</w:t>
      </w:r>
    </w:p>
    <w:p>
      <w:r>
        <w:rPr>
          <w:b/>
        </w:rPr>
        <w:t>E. 6</w:t>
      </w:r>
    </w:p>
    <w:p>
      <w:r>
        <w:t>Reste à examiner la question du renvoi.</w:t>
      </w:r>
    </w:p>
    <w:p>
      <w:r>
        <w:rPr>
          <w:b/>
        </w:rPr>
        <w:t>E. 6.1</w:t>
      </w:r>
    </w:p>
    <w:p>
      <w:r>
        <w:t>Selon l'art. 64 al. 1 let. c LEI, l'autorité compétente rend une décision de renvoi ordinaire à l'encontre d'un étranger auquel l'autorisation de séjour est refusée. Elle ne dispose à ce titre d'aucun pouvoir d'appréciation, le renvoi constituant la conséquence du rejet d'une demande d'autorisation. Le renvoi d'une personne</w:t>
      </w:r>
    </w:p>
    <w:p>
      <w:r>
        <w:t>- 14/16 - A/528/2024 étrangère ne peut être ordonné que si l'exécution de celui-ci est possible, licite ou peut être raisonnablement exigée (art. 83 al. 1 LEI).</w:t>
      </w:r>
    </w:p>
    <w:p>
      <w:r>
        <w:rPr>
          <w:b/>
        </w:rPr>
        <w:t>E. 6.2</w:t>
      </w:r>
    </w:p>
    <w:p>
      <w:r>
        <w:t>En l'espèce, dès lors qu'elle a, à juste titre, refusé l’octroi d’une autorisation de séjour au recourant, l'autorité intimée devait prononcer leur renvoi. Ce dernier n’invoque aucun élément permettant de retenir que l'exécution du renvoi ne serait pas possible, licite ou ne pourrait raisonnablement être exigé ; de tels éléments ne ressortent pas non plus du dossier. Mal fondé, le recours sera rejeté.</w:t>
      </w:r>
    </w:p>
    <w:p>
      <w:r>
        <w:rPr>
          <w:b/>
        </w:rPr>
        <w:t>E. 7</w:t>
      </w:r>
    </w:p>
    <w:p>
      <w:r>
        <w:t>Vu l'issue du recours, un émolument de CHF 400.- sera mis à la charge du recourant et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