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ATA/1254/2015 vom 24. November 2015</w:t>
      </w:r>
    </w:p>
    <w:p>
      <w:r>
        <w:t>GE Cour de justice, 2015-11-24, FR</w:t>
      </w:r>
    </w:p>
    <w:p>
      <w:r>
        <w:rPr>
          <w:b/>
        </w:rPr>
        <w:t xml:space="preserve">Quelle: </w:t>
      </w:r>
      <w:r>
        <w:t>https://mcp.opencaselaw.ch/entscheid/ge_gerichte_ATA_1254_2015</w:t>
      </w:r>
    </w:p>
    <w:p>
      <w:r>
        <w:t>FR: GE_GERICHTE ATA/1254/2015 du 24 novembre 2015</w:t>
      </w:r>
    </w:p>
    <w:p>
      <w:r>
        <w:t>IT: GE_GERICHTE ATA/1254/2015 del 24 novembre 2015</w:t>
      </w:r>
    </w:p>
    <w:p>
      <w:pPr>
        <w:pStyle w:val="Heading2"/>
      </w:pPr>
      <w:r>
        <w:t>Erwägungen</w:t>
      </w:r>
    </w:p>
    <w:p>
      <w:r>
        <w:rPr>
          <w:b/>
        </w:rPr>
        <w:t>E. 1</w:t>
      </w:r>
    </w:p>
    <w:p>
      <w:r>
        <w:t>Interjeté en temps utile devant la juridiction compétente, le recours est - dans cette mesure - recevable (art. 132 de la loi sur l'organisation judiciaire du 26 septembre 2010 - LOJ - E 2 05 ; art. 62 al. 1 let. a de la loi sur la procédure administrative du 12 septembre 1985 - LPA - E 5 10).</w:t>
      </w:r>
    </w:p>
    <w:p>
      <w:r>
        <w:rPr>
          <w:b/>
        </w:rPr>
        <w:t>E. 2</w:t>
      </w:r>
    </w:p>
    <w:p>
      <w:r>
        <w:t>M. A______ recourt contre la décision du SPMi l'exonérant, dès le 1er janvier 2015, de contribuer au coût de la pension et aux frais d'entretien personnel de sa fille C______, sous réserve de la facturation des autres frais.</w:t>
      </w:r>
    </w:p>
    <w:p>
      <w:r>
        <w:t>a. Aux termes de l'art. 60 let. b LPA, ont qualité pour recourir toutes les personnes qui sont touchées directement par une décision et ont un intérêt digne de protection à ce qu'elle soit annulée ou modifiée.</w:t>
      </w:r>
    </w:p>
    <w:p>
      <w:r>
        <w:t>L'intérêt du recourant n'est digne de protection que s'il est actuel et pratique, c'est-à-dire si sa situation de fait ou de droit est susceptible d'être influencée par l'issue du recours (Benoît BOVAY, Procédure administrative, Berne, 2ème éd., 2015, p. 496).</w:t>
      </w:r>
    </w:p>
    <w:p>
      <w:r>
        <w:t>b. Selon la jurisprudence, le recourant doit avoir un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 137 II 40 consid. 2.3 p. 43 et les arrêts cités ; ATA/349/2015 du 14 avril 2015 consid. 2b ; ATA/759/2012 du 6 novembre 2012 ; ATA/188/2011 du 22 mars 2011).</w:t>
      </w:r>
    </w:p>
    <w:p>
      <w:r>
        <w:t>L'intérêt digne de protection fait défaut lorsque sont en jeu des questions purement abstraites, des problèmes d'intérêt théorique ou lorsque le recours est dirigé uniquement contre les motifs de la décision. L'intérêt pratique fait par exemple défaut lorsque le recourant conteste une décision d'estimation fiscale officielle d'un bien-fonds et conclut à ce que la valeur d'une partie du bien-fonds</w:t>
      </w:r>
    </w:p>
    <w:p>
      <w:r>
        <w:t>- 10/16 - A/939/2015 soit augmentée et à ce que celle d'une autre partie soit réduite, la valeur globale de l'immeuble restant cependant inchangée. De même, il n'y a pas d'intérêt actuel suffisant à une évaluation officielle d'un bien-fonds plus élevée dans la perspective d'une future procédure d'expropriation (Benoît BOVAY, op. cit., p. 496-497). Le Tribunal fédéral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135 I 79 consid. 1.1 p. 81 ; 131 II 670 consid. 1.2 p. 674 ; arrêt du Tribunal fédéral 2C_156/2009 du 2 septembre 2009 consid. 4.2).</w:t>
      </w:r>
    </w:p>
    <w:p>
      <w:r>
        <w:rPr>
          <w:b/>
        </w:rPr>
        <w:t>E. 3</w:t>
      </w:r>
    </w:p>
    <w:p>
      <w:r>
        <w:t>En l'espèce, le recourant a conclu à l'annulation de la décision du SPMi. Or, la décision attaquée lui est favorable puisqu'elle l'exonère d'une contribution au coût de la pension et aux frais d'entretien personnel de sa fille. L'intérêt pratique du recours fait indéniablement défaut sur ce grief.</w:t>
      </w:r>
    </w:p>
    <w:p>
      <w:r>
        <w:t>Le recourant conteste par ailleurs la décision du SPMi dans la mesure où les autres frais peuvent toutefois lui être facturés à concurrence des montants effectifs. La question de savoir s'il existe un intérêt actuel ou public suffisant sur ce point peut demeurer indécise pour les motifs qui vont suivre.</w:t>
      </w:r>
    </w:p>
    <w:p>
      <w:r>
        <w:rPr>
          <w:b/>
        </w:rPr>
        <w:t>E. 4</w:t>
      </w:r>
    </w:p>
    <w:p>
      <w:r>
        <w:t>Le recourant a également conclu à la condamnation du SPMi à lui verser ou lui restituer divers montants. Dans son écriture complémentaire du 27 mai 2015, il a pris de nouvelles conclusions.</w:t>
      </w:r>
    </w:p>
    <w:p>
      <w:r>
        <w:t>a. Selon l'art. 61 al. 1 LPA, le recours peut être formé pour violation du droit y compris l'excès et l'abus du pouvoir d'appréciation (let. a) et/ou pour constatation inexacte ou incomplète des faits pertinents (let. b).</w:t>
      </w:r>
    </w:p>
    <w:p>
      <w:r>
        <w:t>b. Dans le contentieux administratif objectif, l'objet du litige correspond à l'objet de la décision attaquée dans la mesure où il est porté devant l'instance de recours. La décision attaquée constitue non seulement l'une des conditions (formelle) de recevabilité du recours, mais délimite, à l'égard du recourant, le cadre matériel admissible de l'objet du litige (arrêts du Tribunal fédéral 2C_319/2009 et 2C_321/2009 du 26 janvier 2010 consid. 2.2).</w:t>
      </w:r>
    </w:p>
    <w:p>
      <w:r>
        <w:t>La contestation ne saurait excéder l'objet de la décision attaquée, à savoir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se réduire dans la mesure où certains éléments de la décision attaquée ne sont plus contestés devant l'autorité de recours (Benoît BOVAY, op. cit., p. 555).</w:t>
      </w:r>
    </w:p>
    <w:p>
      <w:r>
        <w:t>- 11/16 - A/939/2015</w:t>
      </w:r>
    </w:p>
    <w:p>
      <w:r>
        <w:t>Si le recourant est libre de contester tout ou partie de la décision attaquée, il ne peut pas prendre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violer la compétence fonctionnelle de cette autorité, d'enfreindre le principe de l'épuisement des voies de droit préalables, et en définitive, de priver les parties d'un degré de juridiction (Benoît BOVAY, op. cit., p. 557-558).</w:t>
      </w:r>
    </w:p>
    <w:p>
      <w:r>
        <w:t>Par conséquent, le recourant qui demande l'annulation ou la réforme de la décision attaquée devant l'instance de recours ne peut pas présenter des conclusions plus amples qui excèdent l'objet du litige, ni des conclusions nouvelles qu'il n'a pas formulées dans les phases antérieures de la procédure (arrêts du Tribunal fédéral 2C_319/2009 et 2C_321/2009 précités ; Benoît BOVAY, op. cit., p. 559).</w:t>
      </w:r>
    </w:p>
    <w:p>
      <w:r>
        <w:rPr>
          <w:b/>
        </w:rPr>
        <w:t>E. 5</w:t>
      </w:r>
    </w:p>
    <w:p>
      <w:r>
        <w:t>En l'espèce, le recours est formé contre la décision du 18 février 2015 par laquelle le SPMi exonère le recourant de contribuer au prix de pension et aux frais d'entretien personnel de sa fille aînée C______, exigeant cependant du recourant une participation pour les éventuels autres frais, dès le 1er janvier 2015, à concurrence des montants effectifs.</w:t>
      </w:r>
    </w:p>
    <w:p>
      <w:r>
        <w:t>Il en résulte que, hormis les conclusions du recourant tendant à l'annulation de cette décision et/ou à sa réforme, ses autres conclusions tendant à la condamnation du SPMi à lui verser ou à lui restituer diverses sommes relatives aux allocations familiales ou à des bourses d'études encaissées et à entreprendre sans délai des démarches pour obtenir le versement des pensions alimentaires dues par la mère des enfants sont irrecevables en tant qu'elles excèdent de manière exorbitante l'objet du litige.</w:t>
      </w:r>
    </w:p>
    <w:p>
      <w:r>
        <w:t>Les autres conclusions nouvelles formulées dans son écriture complémentaire du 27 mai 2015 doivent être également déclarées irrecevables.</w:t>
      </w:r>
    </w:p>
    <w:p>
      <w:r>
        <w:rPr>
          <w:b/>
        </w:rPr>
        <w:t>E. 6</w:t>
      </w:r>
    </w:p>
    <w:p>
      <w:r>
        <w:t>Le recourant sollicite l'audition de la psychiatre et de la psychologue qui l'ont suivi, la production par le SPMi de l'intégralité de la comptabilité concernant ses deux filles depuis mars 2011 et d'un relevé de compte du SCARPA.</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w:t>
      </w:r>
    </w:p>
    <w:p>
      <w:r>
        <w:t>- 12/16 - A/939/2015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ATF 136 I 229 consid. 5.3 p. 236 ; 134 I 140 consid. 5.3 ; arrêts du Tribunal fédéral 2C_1123/2014 du 24 avril 2015 consid. 2.1 ; 2C_872/2014 du 14 avril 2015 consid. 4.2 ; 2C_842/2014 du 17 février 2015 consid. 6.2).</w:t>
      </w:r>
    </w:p>
    <w:p>
      <w:r>
        <w:rPr>
          <w:b/>
        </w:rPr>
        <w:t>E. 7</w:t>
      </w:r>
    </w:p>
    <w:p>
      <w:r>
        <w:t>En l'espèce, sans remettre en cause les problèmes de santé du recourant, les auditions de sa psychiatre et de sa psychologue ne sont pas nécessaires pour trancher le présent litige, le dossier comportant suffisamment d'éléments pertinents pour statuer. Il en va de même du relevé de compte du SCARPA.</w:t>
      </w:r>
    </w:p>
    <w:p>
      <w:r>
        <w:t>En ce qui concerne la production de la compatibilité concernant les filles du recourant, le SPMi lui a communiqué le grand livre comptable couvrant la période du 1er juin 2006 au 11 février 2015, si bien que sa demande devient sans objet.</w:t>
      </w:r>
    </w:p>
    <w:p>
      <w:r>
        <w:t>La demande d'audition de témoins et de production du relevé de compte du SCARPA sera dès lors rejetée.</w:t>
      </w:r>
    </w:p>
    <w:p>
      <w:r>
        <w:rPr>
          <w:b/>
        </w:rPr>
        <w:t>E. 8</w:t>
      </w:r>
    </w:p>
    <w:p>
      <w:r>
        <w:t>Reste à examiner les griefs du recourant relatifs à l'application par le SPMi de l'art. 2 al. 4 RCFEMP afin de mettre à sa charge les autres frais nécessaires aux activités ordinaires de C______.</w:t>
      </w:r>
    </w:p>
    <w:p>
      <w:r>
        <w:t>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w:t>
      </w:r>
    </w:p>
    <w:p>
      <w:r>
        <w:t>b.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w:t>
      </w:r>
    </w:p>
    <w:p>
      <w:r>
        <w:t>- 13/16 - A/939/2015 une contribution financière aux frais de pension et d’entretien personnel auprès de ses père et mère. La part du financement non couverte par cette contribution est à la charge de l’État (art. 1 al. 1 et 2 RCFEMP).</w:t>
      </w:r>
    </w:p>
    <w:p>
      <w:r>
        <w:t>c. Aux termes de l’art. 1 LRDU,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2ème phr. aLRD ; ATA/827/2014 du 28 octobre 2014 consid. 4b). Sont considérées comme des prestations catégorielles, notamment les subsides de l’assurance-maladie et les allocations de logement (art. 13 al. 1 let. a LRDU qui a repris l'art. 13 al. 1 let. a aLRD).</w:t>
      </w:r>
    </w:p>
    <w:p>
      <w:r>
        <w:t>d. Le montant de la contribution financière des parents aux frais de pension est calculé, lors d'un placement résidentiel, sur une base journalière forfaitaire fixée à CHF 30.-, représentant CHF 900.- par mois, au maximum (art. 2 al. 1 RCFEMP).</w:t>
      </w:r>
    </w:p>
    <w:p>
      <w:r>
        <w:t>À ce montant peuvent se rajouter les frais d’entretien personnel du mineur (art. 2 al. 2 RCFEMP).</w:t>
      </w:r>
    </w:p>
    <w:p>
      <w:r>
        <w:t>Les frais mensuels d’entretien personnel s’élèvent au maximum aux montants établis par les barèmes prévus par l'art. 3 al. 1 RCFEMP et sont refacturés aux père et mère sur la base des frais effectifs (art. 3 al. 2 RCFEMP).</w:t>
      </w:r>
    </w:p>
    <w:p>
      <w:r>
        <w:t>e. Aux termes de l’art. 2 al. 4 RCFEMP, d’autres frais nécessaires aux activités ordinaires peuvent être mis à la charge des père et mère (camps par exemple) à concurrence des frais effectifs.</w:t>
      </w:r>
    </w:p>
    <w:p>
      <w:r>
        <w:t>f.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w:t>
      </w:r>
    </w:p>
    <w:p>
      <w:r>
        <w:t>g. Un rabais fondé sur le RDU est accordé aux père et mère selon le barème prévu à l’art. 5 al. 1 RCFEMP, compte tenu de la capacité contributive du/des parent(s). Ce rabais vient en déduction du prix de pension de base de l’art. 2 al. 1 RCFEMP. Les limites de revenu sont exprimées en francs, calculées en application de la LRDU (art. 5 al. 2 RCFEMP). Dès le deuxième enfant à charge,</w:t>
      </w:r>
    </w:p>
    <w:p>
      <w:r>
        <w:t>- 14/16 - A/939/2015 la somme de CHF 7'500.- est ajoutée par enfant au revenu pour déterminer la limite du revenu familial.</w:t>
      </w:r>
    </w:p>
    <w:p>
      <w:r>
        <w:t>La possibilité d'un rabais n'est pas prévue par le législateur quant aux frais d'entretien personnel mensuels de l'enfant mineur (ATA/878/2014 du</w:t>
      </w:r>
    </w:p>
    <w:p>
      <w:r>
        <w:rPr>
          <w:b/>
        </w:rPr>
        <w:t>E. 11</w:t>
      </w:r>
    </w:p>
    <w:p>
      <w:r>
        <w:t>La procédure n'est pas soumise à émolument (art. 87 al. 1 et 3 LPA ; art. 11 du règlement sur les frais, émoluments et indemnités en procédure administrative du 30 juillet 1986 - RFPA - E 5 10.03).</w:t>
      </w:r>
    </w:p>
    <w:p>
      <w:r>
        <w:t>Vu l’issue du recours,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