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ATA/1251/2022 vom 13. Dezember 2022</w:t>
      </w:r>
    </w:p>
    <w:p>
      <w:r>
        <w:t>GE Cour de justice, 2022-12-13, FR</w:t>
      </w:r>
    </w:p>
    <w:p>
      <w:r>
        <w:rPr>
          <w:b/>
        </w:rPr>
        <w:t xml:space="preserve">Quelle: </w:t>
      </w:r>
      <w:r>
        <w:t>https://mcp.opencaselaw.ch/entscheid/ge_gerichte_ATA_1251_2022</w:t>
      </w:r>
    </w:p>
    <w:p>
      <w:r>
        <w:t>FR: GE_GERICHTE ATA/1251/2022 du 13 décembre 2022</w:t>
      </w:r>
    </w:p>
    <w:p>
      <w:r>
        <w:t>IT: GE_GERICHTE ATA/1251/2022 del 13 dicembre 2022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La conclusion tendant à ce que la nationalité suisse soit octroyée à l’enfant mineur H______ était exorbitante à l’objet du litige et partant irrecevable, étant observé que la recourante a finalement renoncé à la conclusion dans sa réplique. 3)</w:t>
      </w:r>
    </w:p>
    <w:p>
      <w:r>
        <w:t>La recourante se plaint de la violation de son droit d’être entendue, faute pour l’intimé de lui avoir révélé qu’il avait recueilli des informations sur le droit U______ en matière de nationalité.</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w:t>
      </w:r>
    </w:p>
    <w:p>
      <w:r>
        <w:t>- 10/21 - A/2487/2022 la décision à rendre (ATF 142 III 48 consid. 4.1.1 ; arrêt du Tribunal fédéral 1B_539/2019 du 19 mars 2020 consid. 3.1 et les arrêts cités).</w:t>
      </w:r>
    </w:p>
    <w:p>
      <w:r>
        <w:t>La réparation d'un vice de procédure en instance de recours et, notamment, du droit d'être entendu, n'est possible que lorsque l'autorité dispose du même pouvoir d'examen que l'autorité inférieure (ATF 145 I 167 consid. 4.4 ; 142 II 218 consid. 2.8.1). Elle dépend toutefois de la gravité et de l'étendue de l'atteinte portée au droit d'être entendu et doit rester l'exception (ATF 142 II 218 consid. 2.8) ; elle peut cependant se justifier en présence d'un vice grave lorsque le renvoi constituerait une vaine formalité et aboutirait à un allongement inutile de la procédure (ATF 142 II 218 consid. 2.8.1 ; arrêt du Tribunal fédéral 1C_617/2019 du 27 mai 2020 consid. 3.1).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(ATA/632/2020 du 30 juin 2020 consid. 4b et les arrêts cités).</w:t>
      </w:r>
    </w:p>
    <w:p>
      <w:r>
        <w:t>b. En l’espèce, la recourante a été interpellée le 7 juillet 2020 par l’OCPM et avertie du risque d’une annulation de sa naturalisation et de celle de ses enfants. Elle a pu s’exprimer et produire toutes pièces utiles devant l’OCPM les 30 septembre, 27 octobre 2020 et 7 mars 2022. Elle a notamment pu faire valoir, dans chacune de ses écritures, les risques d’apatridie, pour elle et ses enfants, liés à l’annulation de leurs naturalisations. Elle a pu produire la législation U______ pertinente.</w:t>
      </w:r>
    </w:p>
    <w:p>
      <w:r>
        <w:t>Il ressort du dossier que les démarches de l’OCPM et du SEM – au demeurant documentées, versées à la procédure et accessibles à la recourante durant l’instruction des soupçons d’irrégularités – sont consécutives à l’évocation par la recourante du risque d’apatridie et à la production par celle-ci de la législation U______, qu’elles ont confirmé le risque que la recourante avait elle- même mis en avant que ses enfants et elle aient perdu leur citoyenneté U______ du fait de leur naturalisation suisse et ne puissent la récupérer en cas d’annulation de celle-ci qu’au prix d’un retour en U______ et qu’elles ont finalement conduit le Conseil d’État à renoncer à révoquer la naturalisation des enfants.</w:t>
      </w:r>
    </w:p>
    <w:p>
      <w:r>
        <w:t>La recourante reproche à l’OCPM de lui avoir caché le « consulting » du</w:t>
      </w:r>
    </w:p>
    <w:p>
      <w:r>
        <w:rPr>
          <w:b/>
        </w:rPr>
        <w:t>E. 4</w:t>
      </w:r>
    </w:p>
    <w:p>
      <w:r>
        <w:t>; 1C_214/2015 du 6 novembre 2015 consid. 2.2.4).</w:t>
      </w:r>
    </w:p>
    <w:p>
      <w:r>
        <w:t>b. En l’espèce, la question de savoir si la recourante pourrait récupérer la nationalité U______ une fois sa naturalisation suisse annulée, et en particulier s’il pourrait être exigé d’elle qu’elle se rende en U______ à ces fins, en prenant le cas échéant des risques pour sa vie, son intégrité corporelle ou sa liberté compte tenu de son appartenance à une ethnie et sa provenance d’un État sécessionniste, soit en l’espèce le W______, pourra souffrir de rester indécise, dès lors que la jurisprudence exclut d’invoquer l’apatridie en cas d’obtention frauduleuse de la nationalité suisse.</w:t>
      </w:r>
    </w:p>
    <w:p>
      <w:r>
        <w:t>S’agissant du caractère frauduleux de l’obtention de la nationalité, il est établi que la recourante a sciemment menti sur la question déterminante de son domicile. Elle fait, certes, valoir que si elle n’a pas révélé l’existence de la maison en L______, c’était parce que celle-ci appartenait à son mari. Cet argument tombe à faux, dès lors que c’est l’omission de déclarer son domicile en L______ qui lui est reproché, et non pas la propriété immobilière de son mari.</w:t>
      </w:r>
    </w:p>
    <w:p>
      <w:r>
        <w:t>Son mari a pour sa part répondu, de manière contraire à la vérité, par la négative à la question de savoir si lui ou son conjoint étaient propriétaires ou locataires d’un ou plusieurs biens immobiliers à l’étranger, la réponse négative à cette question faisant l’objet dans le questionnaire d’une déclaration additionnelle spécifique sur l’honneur, encadrée et signée séparément. Il a de même affirmé de</w:t>
      </w:r>
    </w:p>
    <w:p>
      <w:r>
        <w:t>- 19/21 - A/2487/2022 manière mensongère que sa femme, lui et leurs quatre derniers enfants étaient tous domiciliés à I______. Ces éléments suggèrent que les époux se sont entendus pour mentir aux autorités en vue d’obtenir la naturalisation.</w:t>
      </w:r>
    </w:p>
    <w:p>
      <w:r>
        <w:t>L’intimé était fondé à ne pas tenir compte du risque d’apatridie.</w:t>
      </w:r>
    </w:p>
    <w:p>
      <w:r>
        <w:t>Le grief sera écarté. 10) La recourante se plaint dans sa réplique d’une violation de l’interdiction de l’arbitraire.</w:t>
      </w:r>
    </w:p>
    <w:p>
      <w:r>
        <w:t>a. Selon l’art. 9 Cst., toute personne a le droit d’être traitée par les organes de l’État sans arbitraire et conformément aux règles de la bonne foi. Le principe de la bonne foi comprend notamment l’interdiction des comportements contradictoires ou abusifs (ATF 143 IV 117 consid. 3.2 ; 136 I 254 consid. 5.2 ; ATA/273/2022 du 15 mars 2022 consid. 4a). L’interdiction des comportements contradictoires ne concerne que la même autorité, agissant à l’égard des mêmes justiciables, dans la même affaire ou à l’occasion d’affaires identiques (ATF 111 V 81 consid. 6).</w:t>
      </w:r>
    </w:p>
    <w:p>
      <w:r>
        <w:t>b. En l’espèce, ainsi qu’il a été vu plus haut, la décision attaquée n’est pas critiquable.</w:t>
      </w:r>
    </w:p>
    <w:p>
      <w:r>
        <w:t>La recourante n’est pas admise à invoquer le risque d’apatridie. Elle n’est pas contrainte de se rendre en U______ et ne saurait reprocher à l’autorité intimée de l’exposer à des dangers pour sa vie, son intégrité corporelle ou sa liberté – qu’elle allègue sans les établir. Elle ne saurait ainsi inférer du risque d’apatridie auquel l’exposerait la décision querellée l’arbitraire ou la mauvaise foi de l’autorité intimée.</w:t>
      </w:r>
    </w:p>
    <w:p>
      <w:r>
        <w:t>Le grief sera écarté.</w:t>
      </w:r>
    </w:p>
    <w:p>
      <w:r>
        <w:t>Entièrement mal fondé, le recours sera rejeté. 11) La procédure de recours étant gratuite pour les décisions en matière de naturalisation (art. 12 al. 1 du règlement sur les frais, émoluments et indemnités en procédure administrative du 30 juillet 1986 - RFPA - E 5 10.03), aucun émolument ne sera perçu (art. 87 al. 1 LPA).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