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ATA/1251/2019 vom 13. August 2019</w:t>
      </w:r>
    </w:p>
    <w:p>
      <w:r>
        <w:t>GE Cour de justice, 2019-08-13, FR</w:t>
      </w:r>
    </w:p>
    <w:p>
      <w:r>
        <w:rPr>
          <w:b/>
        </w:rPr>
        <w:t xml:space="preserve">Quelle: </w:t>
      </w:r>
      <w:r>
        <w:t>https://mcp.opencaselaw.ch/entscheid/ge_gerichte_ATA_1251_2019</w:t>
      </w:r>
    </w:p>
    <w:p>
      <w:r>
        <w:t>FR: GE_GERICHTE ATA/1251/2019 du 13 août 2019</w:t>
      </w:r>
    </w:p>
    <w:p>
      <w:r>
        <w:t>IT: GE_GERICHTE ATA/1251/2019 del 13 agosto 2019</w:t>
      </w:r>
    </w:p>
    <w:p>
      <w:pPr>
        <w:pStyle w:val="Heading2"/>
      </w:pPr>
      <w:r>
        <w:t>Erwägungen</w:t>
      </w:r>
    </w:p>
    <w:p>
      <w:r>
        <w:rPr>
          <w:b/>
        </w:rPr>
        <w:t>E. 26</w:t>
      </w:r>
    </w:p>
    <w:p>
      <w:r>
        <w:t>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preuves (al. 2).</w:t>
      </w:r>
    </w:p>
    <w:p>
      <w:r>
        <w:t>La jurisprudence fait preuve d’une certaine souplesse s’agissant de la manière par laquelle sont formulées les conclusions d’un recourant. Le fait qu’elles ne ressortent pas expressément de l’acte de recours n’est pas en soit un motif d’irrecevabilité, pour autant que l’autorité judiciaire et les autres parties concernées puissent comprendre avec certitude les demandes du recourant (ATA/1251/2018 du 20 novembre 2018 consid. 2a).</w:t>
      </w:r>
    </w:p>
    <w:p>
      <w:r>
        <w:t>b. En l’espèce, les recourants n’indiquent pas précisément l’acte ou les actes contre lesquels ils recourent ou dont ils demandent l’annulation. Ils donnent en référence le numéro du jugement du TAPI, en y ajoutant la mention « et co… ». Ils indiquent que leur acte concerne des « oppositions au jugement d’irrecevabilité ». De plus, ils ajoutent un certain nombre de numéros de procédure, de numéros de jugement du TAPI et de numéros d’arrêt de la chambre administrative en indiquant qu’il s’agit d’un « petit éventail des numéros de références », concluant qu’ils demandent « la révision / annulation ou réouverture de tous les jugements susmentionnés et l’arrêt des travaux comme demandé précédemment ».</w:t>
      </w:r>
    </w:p>
    <w:p>
      <w:r>
        <w:t>Dans ce cadre, l’exigence prévue par l’art. 65 LPA, de désigner la décision attaquée, n’est pas remplie, tant cette désignation est floue : elle ne permet pas à l'autorité d'instruire le dossier, l'objet du litige étant indéterminé.</w:t>
      </w:r>
    </w:p>
    <w:p>
      <w:r>
        <w:t>c. Pour ce motif déjà, le recours sera déclaré irrecevable. 3) a. La jurisprudence a indiqué qu’une association jouissant de la personnalité juridique est autorisée à former un recours en matière administrative en son nom propre lorsqu’elle est touchée dans ses intérêts dignes de protection.</w:t>
      </w:r>
    </w:p>
    <w:p>
      <w:r>
        <w:t>Lorsqu’elle n’est pas elle-même touchée par la décision entreprise, elle peut être admise à agir pour autant qu’elle ait pour but statutaire la défense des intérêts dignes de protection de ses membres, que ses intérêts soient communs à la majorité ou à tout le moins à un grand nombre d’entre eux et, enfin, que chacun de ceux-ci aient qualité pour s’en prévaloir à titre individuel (arrêt du Tribunal fédéral 1C_514/2017 consid. 2 ; ATF 142 II 80 consid. 1.4.2).</w:t>
      </w:r>
    </w:p>
    <w:p>
      <w:r>
        <w:t>b. En matière d’aménagement du territoire, une association dispose de la qualité pour recourir si elle est d’importance cantonale, qu’elle existe depuis plus de trois ans et qu’elle se voue, au terme de ses statuts, par pur idéal à l’étude de</w:t>
      </w:r>
    </w:p>
    <w:p>
      <w:r>
        <w:t>- 5/6 - A/1419/2019 questions relatives à l’aménagement du territoire, à la protection de l’environnement ou à la protection des monuments, de la nature et des sites (art. 145 al. 2 de la loi sur les constructions et les installations diverses du 14 avril 1988 - LCI - L 5 05 ; art. 46 al. 2 de la loi sur la protection des monuments, de la nature et des sites du 4 juin 1976 - LPMNS - L 4 05 ; art. 35 al. 3 de la loi sur les gravières et exploitations assimilées du 28 octobre 1999 - LGEA - L 3 10).</w:t>
      </w:r>
    </w:p>
    <w:p>
      <w:r>
        <w:t>c. En l’espèce, le Collectif Swiss ne remplit aucune de ces conditions : ses buts statutaires n’ont aucun rapport avec l’aménagement du territoire, puisqu’il vise d’une manière générale à dénoncer les dérives au sein des administrations publiques, à lutter contre toutes les formes de prises illégales d’intérêts, de corruption passive des élus.</w:t>
      </w:r>
    </w:p>
    <w:p>
      <w:r>
        <w:t>d. Le recours est en conséquence aussi irrecevable pour ce motif. 4)</w:t>
      </w:r>
    </w:p>
    <w:p>
      <w:r>
        <w:t>Au vu de cette issue, un émolument de procédure de CHF 1'000.- sera mis à la charge du Collectif Swiss, qui succombe, et aucune indemnité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