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ATA/1250/2020 vom 8. Dezember 2020</w:t>
      </w:r>
    </w:p>
    <w:p>
      <w:r>
        <w:t>GE Cour de justice, 2020-12-08, FR</w:t>
      </w:r>
    </w:p>
    <w:p>
      <w:r>
        <w:rPr>
          <w:b/>
        </w:rPr>
        <w:t xml:space="preserve">Quelle: </w:t>
      </w:r>
      <w:r>
        <w:t>https://mcp.opencaselaw.ch/entscheid/ge_gerichte_ATA_1250_2020</w:t>
      </w:r>
    </w:p>
    <w:p>
      <w:r>
        <w:t>FR: GE_GERICHTE ATA/1250/2020 du 8 décembre 2020</w:t>
      </w:r>
    </w:p>
    <w:p>
      <w:r>
        <w:t>IT: GE_GERICHTE ATA/1250/2020 del 8 dicembre 2020</w:t>
      </w:r>
    </w:p>
    <w:p>
      <w:pPr>
        <w:pStyle w:val="Heading2"/>
      </w:pPr>
      <w:r>
        <w:t>Erwägungen</w:t>
      </w:r>
    </w:p>
    <w:p>
      <w:r>
        <w:rPr>
          <w:b/>
        </w:rPr>
        <w:t>E. 12</w:t>
      </w:r>
    </w:p>
    <w:p>
      <w:r>
        <w:t>septembre 1985 - LPA - E 5 10). 2)</w:t>
      </w:r>
    </w:p>
    <w:p>
      <w:r>
        <w:t>Est litigieux le refus de l'AFC-GE d’entrer en matière sur la demande en révision fondée sur l’arrêt du Tribunal fédéral 2C_855/2018.</w:t>
      </w:r>
    </w:p>
    <w:p>
      <w:r>
        <w:t>a. Selon l'art. 147 al. 1 de la loi fédérale sur l’impôt fédéral direct du</w:t>
      </w:r>
    </w:p>
    <w:p>
      <w:r>
        <w:rPr>
          <w:b/>
        </w:rPr>
        <w:t>E. 14</w:t>
      </w:r>
    </w:p>
    <w:p>
      <w:r>
        <w:t>décembre 1990 (LIFD - RS 642.11), une décision ou un prononcé entré en force peut être révisé en faveur du contribuable, à sa demande ou d'office,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w:t>
      </w:r>
    </w:p>
    <w:p>
      <w:r>
        <w:t>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w:t>
      </w:r>
    </w:p>
    <w:p>
      <w:r>
        <w:t>- 6/9 - A/4035/2019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2C_660/2017 du 30 janvier 2019 consid. 5.1 et les références citées).</w:t>
      </w:r>
    </w:p>
    <w:p>
      <w:r>
        <w:t>Selon la jurisprudence, l'erreur dans l'application du droit ne constitue pas un motif de révision. En particulier, un changement de jurisprudence lié à une nouvelle interprétation légale n'ouvre pas la voie de la révision (arrêts du Tribunal fédéral 2P.198/2003 et 2A.346/2003 du 12 décembre 2003 consid. 3.2).</w:t>
      </w:r>
    </w:p>
    <w:p>
      <w:r>
        <w:t>b. La révision est exclue lorsque le requérant a invoqué des motifs qu'il aurait déjà pu faire valoir au cours de la procédure ordinaire s'il avait fait preuve de toute la diligence qui pouvait raisonnablement être exigée de lui (art. 147 al. 2 LIFD).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w:t>
      </w:r>
    </w:p>
    <w:p>
      <w:r>
        <w:t>c. La demande de révision doit être déposée dans les nonante jours qui suivent la découverte du motif de révision, mais au plus tard dans les dix ans qui suivent la notification de la décision ou du prononcé (art. 148 LIFD).</w:t>
      </w:r>
    </w:p>
    <w:p>
      <w:r>
        <w:t>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de la Constitution fédérale de la Confédération suisse du 18 avril 1999 (Cst. - RS 101 ; arrêt du Tribunal fédéral 2C_660/2017 du 30 janvier 2019 consid. 6.1 et les références citées).</w:t>
      </w:r>
    </w:p>
    <w:p>
      <w:r>
        <w:t>- 7/9 - A/4035/2019</w:t>
      </w:r>
    </w:p>
    <w:p>
      <w:r>
        <w:t>d. Conformément à l'art. 51 al. 1 de la loi fédérale sur l’harmonisation des impôts directs des cantons et des communes du 14 décembre 1990 (LHID - RS 642.14)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w:t>
      </w:r>
    </w:p>
    <w:p>
      <w:r>
        <w:t>e.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w:t>
      </w:r>
    </w:p>
    <w:p>
      <w:r>
        <w:t>f. En l’espèce, la demande en révision litigieuse est fondée sur l’arrêt 2C_855/2018 du Tribunal fédéral. Or, d'une part, cet arrêt – qui a tranché la question de savoir si la chambre administrative avait à juste titre déclaré irrecevable pour cause de tardiveté le recours formé par E______ – s’inscrit dans la procédure ayant porté sur la question de savoir si la société avait accordé à ses associés une prestation appréciable en argent. Dans la procédure précitée, E______ avait demandé, dans son recours du 31 juillet 2017 au TAPI, la révision des taxations de MM. B______ et C______, au motif qu’ils avaient été taxés sur le résultat de l’opération « D______». Le TAPI avait déclaré le recours sur ce point irrecevable, relevant que la société n’avait pas qualité pour demander la révision des taxations des précités.</w:t>
      </w:r>
    </w:p>
    <w:p>
      <w:r>
        <w:t>En sa qualité d’administrateur et actionnaire de E______, le recourant connaissait donc le motif de révision depuis la notification du bordereau de rappel d’impôts le 6 mars 2017 à E______. Comme cela vient d’être évoqué, il a d’ailleurs invoqué ce motif de révision en sa faveur par le biais du recours de E______ au TAPI en juillet 2017. Il n’expose pas pour quel motif la connaissance</w:t>
      </w:r>
    </w:p>
    <w:p>
      <w:r>
        <w:t>- 8/9 - A/4035/2019 qu’il avait de l’existence de ce motif de révision, dont il s’est au demeurant déjà prévalu en 2017, ne lui serait pas opposable.</w:t>
      </w:r>
    </w:p>
    <w:p>
      <w:r>
        <w:t>La date à laquelle le Tribunal fédéral a statué sur le recours de E______ ne modifie en rien le fait que le recourant avait déjà connaissance en 2017 du motif sur lequel il fonde la demande en révision. Pour le surplus, le Tribunal fédéral ne s’est nullement prononcé sur le bienfondé de la procédure de rappel d’impôts, mais uniquement sur la question de savoir si la chambre administrative était fondée à déclarer irrecevable le recours de E______. L’arrêt fédéral n’a donc apporté aucun élément de fait ou moyen de preuve nouveau susceptible de conduire à une révision de la taxation ICC et IFD 2007 des recourants.</w:t>
      </w:r>
    </w:p>
    <w:p>
      <w:r>
        <w:t>Enfin, ces derniers ne pouvaient de bonne foi ignorer lors de leur déclaration fiscale 2007, puis au plus tard à réception du bordeau rectificatif de E______ du 6 mars 2017, les éléments à l'origine des procédures en rappel d'impôts introduites par l'AFC-GE à l'encontre de ladite société ayant conduit cette autorité à qualifier le bénéfice de l’opération « D______» de prestation appréciable en argent de la part de la société en faveur du recourant. Il ne s'agit pas de faits inconnus du contribuable lors de sa taxation 2007, a fortiori lors de la réception du bordereau rectificatif notifié à E______ en 2017. Dans ces circonstances, il ne peut reprocher à l’autorité une attitude contraire au principe de la bonne foi.</w:t>
      </w:r>
    </w:p>
    <w:p>
      <w:r>
        <w:t>Au vu de ce qui précède, l'AFC-GE a, à juste titre, refusé d'entrer en matière sur la demande en révision et l'a déclarée irrecevable. Le recours sera donc rejeté. 3)</w:t>
      </w:r>
    </w:p>
    <w:p>
      <w:r>
        <w:t>Succombant, les recourants s’acquitteront de l’émolument de CHF 1'000.- et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