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ATA/124/2025 vom 28. Januar 2025</w:t>
      </w:r>
    </w:p>
    <w:p>
      <w:r>
        <w:t>GE Cour de justice, 2025-01-28, FR</w:t>
      </w:r>
    </w:p>
    <w:p>
      <w:r>
        <w:rPr>
          <w:b/>
        </w:rPr>
        <w:t xml:space="preserve">Quelle: </w:t>
      </w:r>
      <w:r>
        <w:t>https://mcp.opencaselaw.ch/entscheid/ge_gerichte_ATA_124_2025</w:t>
      </w:r>
    </w:p>
    <w:p>
      <w:r>
        <w:t>FR: GE_GERICHTE ATA/124/2025 du 28 janvier 2025</w:t>
      </w:r>
    </w:p>
    <w:p>
      <w:r>
        <w:t>IT: GE_GERICHTE ATA/124/2025 del 28 gennaio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t>- 3/5 - A/869/2022</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(ATA/823/2018 du 14 août 2018 consid. 2 ; ATA/1484/2017 du 14 novembre 2017 consid. 4b ; arrêt du Tribunal fédéral 2C_152/2010 du 24 août 2010),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(ATA/1031/2018 du 2 octobre 2018 consid. 2b ; ATA/1156/2017 du 2 août 2017 consid. 4b).</w:t>
      </w:r>
    </w:p>
    <w:p>
      <w:r>
        <w:rPr>
          <w:b/>
        </w:rPr>
        <w:t>E. 2.3</w:t>
      </w:r>
    </w:p>
    <w:p>
      <w:r>
        <w:t>En l’espèce, il ressort de l’arrêt du Tribunal fédéral que tant le TAPI que la chambre de céans ont retenu à tort, d’une part, que l’immeuble pour lequel la recourante était au bénéfice d’un droit réel d’habitation devait être inclus dans sa fortune imposable et, d’autre part, que la recourante devait payer l’impôt immobilier complémentaire sur ledit immeuble. La recourante obtient ainsi entièrement gain de cause sur les points qu’elle contestait. Elle a déposé trois écritures en procédure cantonale, soit deux devant le TAPI et une devant la chambre de céans, et aucune audience n’a été tenue. Si l'état de faits ne présentait pas de complexité particulière, les questions juridiques à traiter étaient plus délicates.</w:t>
      </w:r>
    </w:p>
    <w:p>
      <w:r>
        <w:t>- 4/5 - A/869/2022 Au vu de l’ensemble de ces éléments, il convient de fixer l’indemnité de procédure due pour l’ensemble de la procédure cantonale à CHF 3'000.- et de ne pas percevoir d’émolument, ni pour la procédure devant le TAPI ni pour celle devant la chambre de céans. 3. Conformément à la pratique courante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