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ATA/124/2016 vom 9. Februar 2016</w:t>
      </w:r>
    </w:p>
    <w:p>
      <w:r>
        <w:t>GE Cour de justice, 2016-02-09, FR</w:t>
      </w:r>
    </w:p>
    <w:p>
      <w:r>
        <w:rPr>
          <w:b/>
        </w:rPr>
        <w:t xml:space="preserve">Quelle: </w:t>
      </w:r>
      <w:r>
        <w:t>https://mcp.opencaselaw.ch/entscheid/ge_gerichte_ATA_124_2016</w:t>
      </w:r>
    </w:p>
    <w:p>
      <w:r>
        <w:t>FR: GE_GERICHTE ATA/124/2016 du 9 février 2016</w:t>
      </w:r>
    </w:p>
    <w:p>
      <w:r>
        <w:t>IT: GE_GERICHTE ATA/124/2016 del 9 febbraio 2016</w:t>
      </w:r>
    </w:p>
    <w:p>
      <w:pPr>
        <w:pStyle w:val="Heading2"/>
      </w:pPr>
      <w:r>
        <w:t>Regeste</w:t>
      </w:r>
    </w:p>
    <w:p>
      <w:r>
        <w:t>Résumé: Le salaire minimum prévu par le CTT-Esthé doit être respecté pour toute employée exerçant en qualité d'esthéticienne ou de prothésiste ongulaire, nonobstant l'absence de diplôme ou d'expérience ou encore le fait que l'employée ait été engagée en qualité de stagiaire. Confirmation du principe de l'amende mais réduction de celle-ci à CHF 3'500.-.</w:t>
      </w:r>
    </w:p>
    <w:p>
      <w:pPr>
        <w:pStyle w:val="Heading2"/>
      </w:pPr>
      <w:r>
        <w:t>Erwägungen</w:t>
      </w:r>
    </w:p>
    <w:p>
      <w:r>
        <w:rPr>
          <w:b/>
        </w:rPr>
        <w:t>E. 31</w:t>
      </w:r>
    </w:p>
    <w:p>
      <w:r>
        <w:t>mars 2009). Enfin, l’amende doit respecter le principe de la proportionnalité (art. 36 al. 3 d Cst. ; ATA/61/2014 du 4 février 2014 ; ATA/74/2013 précité et les arrêts cités).</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w:t>
      </w:r>
    </w:p>
    <w:p>
      <w:r>
        <w:t>c. En l’espèce, l’OCIRT a déterminé le montant total de l’amende en fonction de l’importance de la sous-enchère et du nombre d’infractions commises, à savoir selon le nombre de collaborateurs concernés.</w:t>
      </w:r>
    </w:p>
    <w:p>
      <w:r>
        <w:t>- 17/18 - A/3490/2014</w:t>
      </w:r>
    </w:p>
    <w:p>
      <w:r>
        <w:t>Une faute a été indéniablement commise par la recourante par le non-respect du salaire minimal prescrit par le CTT-Esthé. Cela étant, la violation de ce contrat-type de travail a été limitée dans le temps puisqu’elle a porté sur un seul mois en 2014 et n'a concerné qu'une seule employée, pour un montant total de CHF 2'207.50. Il s’agit par ailleurs de la première infraction commise par la recourante en cette matière. Enfin, la société a collaboré à l'établissement des faits. Dans ces conditions, l’amende administrative de CHF 3'400.- infligée à la recourante est disproportionnée et doit être ramenée à CHF 2’000.-. 9.</w:t>
      </w:r>
    </w:p>
    <w:p>
      <w:r>
        <w:t>Enfin et en tout état de cause, l’émolument de sanction de CHF 100.- entre dans le cadre de l’art. 66A let. a du règlement d'application de la loi sur l'inspection et les relations du travail du 23 février 2005 (RIRT - J 1 05.01). 10.</w:t>
      </w:r>
    </w:p>
    <w:p>
      <w:r>
        <w:t>Vu ce qui précède, le recours est admis partiellement.</w:t>
      </w:r>
    </w:p>
    <w:p>
      <w:r>
        <w:t>Un émolument réduit de CHF 1'000.- sera mis à la charge de la recourante, qui succombe concernant le principe de l’amende (art. 87 al. 1 LPA). Vu l'admission très partielle du recours, une indemnité de procédure de CHF 400.-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