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ATA/1244/2019 vom 13. August 2019</w:t>
      </w:r>
    </w:p>
    <w:p>
      <w:r>
        <w:t>GE Cour de justice, 2019-08-13, FR</w:t>
      </w:r>
    </w:p>
    <w:p>
      <w:r>
        <w:rPr>
          <w:b/>
        </w:rPr>
        <w:t xml:space="preserve">Quelle: </w:t>
      </w:r>
      <w:r>
        <w:t>https://mcp.opencaselaw.ch/entscheid/ge_gerichte_ATA_1244_2019</w:t>
      </w:r>
    </w:p>
    <w:p>
      <w:r>
        <w:t>FR: GE_GERICHTE ATA/1244/2019 du 13 août 2019</w:t>
      </w:r>
    </w:p>
    <w:p>
      <w:r>
        <w:t>IT: GE_GERICHTE ATA/1244/2019 del 13 agosto 2019</w:t>
      </w:r>
    </w:p>
    <w:p>
      <w:pPr>
        <w:pStyle w:val="Heading2"/>
      </w:pPr>
      <w:r>
        <w:t>Erwägungen</w:t>
      </w:r>
    </w:p>
    <w:p>
      <w:r>
        <w:rPr>
          <w:b/>
        </w:rPr>
        <w:t>E. 12</w:t>
      </w:r>
    </w:p>
    <w:p>
      <w:r>
        <w:t>septembre 1985 - LPA - E 5 10). 2)</w:t>
      </w:r>
    </w:p>
    <w:p>
      <w:r>
        <w:t>L’objet du litige consiste à déterminer si le TAPI était fondé à confirmer le refus de l’intimé de réexaminer sa décision du 16 juillet 2016.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w:t>
      </w:r>
    </w:p>
    <w:p>
      <w:r>
        <w:t>- 12/16 - A/570/2019 police des étrangers lorsqu'il ne s'agit pas d'une mesure de contrainte (art. 61 al. 2 LPA ; art. 10 al. 2 a contrario de la loi d'application de la loi fédérale sur les étrangers du 16 juin 1988 - LaLEtr - F 2 10). 4)</w:t>
      </w:r>
    </w:p>
    <w:p>
      <w:r>
        <w:t>Le 1er janvier 2019, est entrée en vigueur une modification de la loi fédérale sur les étrangers du 16 décembre 2005 (LEtr - RS 142.20), devenue la LEI. En l'absence de dispositions transitoires, la règle générale prévaut selon laquelle les conséquences juridiques applicables sont celles en vigueur au moment où les faits pertinents se sont produits (ATA/316/2019 du 26 mars 2019 consid. 6 et les références citées).</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5)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(ATA/93/2019 du 29 janvier 2019 consid. 3a ; ATA/1314/2018 du 4 décembre 2018 consid. 2d).</w:t>
      </w:r>
    </w:p>
    <w:p>
      <w:r>
        <w:t>- 13/16 - A/570/2019</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 6)</w:t>
      </w:r>
    </w:p>
    <w:p>
      <w:r>
        <w:t>En l’espèce, les recourants font valoir deux éléments justifiant, selon eux, la reconsidération : la nouvelle pratique administrative liée à l’« opération Papyrus », d’une part, et, d’autre part, l’intérêt supérieur de leurs enfants à rester en Suisse.</w:t>
      </w:r>
    </w:p>
    <w:p>
      <w:r>
        <w:t>a. Contrairement à ce que soutiennent les recourants, la mise en œuvre du programme Papyrus ne constitue pas un fait nouveau au sens de l’art. 48 al. 1 let. b LPA (ATA/244/2019 du 12 mars 2019 consid. 4). Outre que cette mise en œuvre a été initiée au mois de février 2017, à savoir alors que la décision du</w:t>
      </w:r>
    </w:p>
    <w:p>
      <w:r>
        <w:rPr>
          <w:b/>
        </w:rPr>
        <w:t>E. 16</w:t>
      </w:r>
    </w:p>
    <w:p>
      <w:r>
        <w:t>juillet 2016 n’était pas définitive, elle ne constitue pas une modification du cadre juridique applicable à la situation des recourants.</w:t>
      </w:r>
    </w:p>
    <w:p>
      <w:r>
        <w:t>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 OASA - RS 142.201), dont</w:t>
      </w:r>
    </w:p>
    <w:p>
      <w:r>
        <w:t>- 14/16 - A/570/2019 les critères peuvent entrer en ligne de compte pour l’examen desdites raisons personnelles majeures (ATA/584/2017 du 23 mai 2017 consid. 4c).</w:t>
      </w:r>
    </w:p>
    <w:p>
      <w:r>
        <w:t>L’existence de l’« opération Papyrus » ne saurait ainsi justifier l’entrée en matière sur la demande de reconsidération.</w:t>
      </w:r>
    </w:p>
    <w:p>
      <w:r>
        <w:t>b. En ce qui concerne la situation des enfants des recourants, aucun élément nouveau n’est survenu depuis la décision du 16 juillet 2016.</w:t>
      </w:r>
    </w:p>
    <w:p>
      <w:r>
        <w:t>En outre, dans son arrêt du 10 juillet 2018, la chambre de céans s’est penchée sur leur situation. Elle a tenu compte du fait qu’ils étaient arrivés officiellement en Suisse le 22 juillet 2008, alors âgés respectivement de 6 et 2 ans, le benjamin étant né à Genève. Au jour de l’arrêt, ils avaient passé à Genève une partie de leur enfance et de leur scolarité, qui se déroulait bien, sans qu'elle ne puisse être qualifiée d'exceptionnelle. Toutefois, tous deux avaient gardé un lien fort avec leur famille au Kosovo et leur pays d'origine, au vu des nombreuses demandes de visas de retour pour des vacances de plusieurs semaines, voire de plusieurs mois dans ce pays, et dans la mesure où ils y étaient retournés vivre avec leur mère entre mars 2011 et septembre 2012. Ils parlaient couramment leur langue maternelle et l'aîné suivait une formation qu'il pouvait aisément poursuivre au Kosovo. Bien que constitutives d'un important changement, leur réintégration et la poursuite de leurs études dans ce pays ne semblaient pas compromises. Par ailleurs, l’exécution du renvoi était licite, possible et raisonnablement exigible, le délai de départ imparti respectant au demeurant le principe de la proportionnalité.</w:t>
      </w:r>
    </w:p>
    <w:p>
      <w:r>
        <w:t>Par leurs arguments, les recourants tentent de remettre en question cette analyse, notamment en se prévalant de l’art. 3 CDE. Toutefois, s’ils ne partageaient pas l’avis de la chambre de céans et estimaient que l’arrêt violait la convention précitée, il leur appartenait de la contester devant le Tribunal fédéral ; la voie de la procédure de reconsidération ne permet pas de revenir sur une décision entrée en force du fait que, comme les recourants l’ont laissé entendre en première instance, la défense de leurs intérêts avait été lacunaire.</w:t>
      </w:r>
    </w:p>
    <w:p>
      <w:r>
        <w:t>En outre, l’écoulement du temps et la poursuite de l’intégration tant des enfants des recourants que de ces derniers, bien que constituant des modifications des circonstances, ne peuvent pas non plus, comme le reconnaissent d’ailleurs les recourants, être qualifiés de notables au sens de l’art. 48 al. 1 let. b LPA, dès lors qu’ils résultent uniquement du fait que ceux-ci ne se sont pas conformés à la décision du 16 juillet 2016.</w:t>
      </w:r>
    </w:p>
    <w:p>
      <w:r>
        <w:t>Il sera encore relevé, à titre superfétatoire, que les considérations exposées au sujet des enfants dans l’arrêt du 10 juillet 2018 restent valables. Par ailleurs, il y a lieu de souligner que ceux-ci ne seront pas séparés de leurs parents, comme cela est le cas dans la jurisprudence citée par les recourants. Le renvoi concerne, en effet, toute la famille.</w:t>
      </w:r>
    </w:p>
    <w:p>
      <w:r>
        <w:t>- 15/16 - A/570/2019</w:t>
      </w:r>
    </w:p>
    <w:p>
      <w:r>
        <w:t>Au vu de ce qui précède, l’OCPM n’a pas violé la loi ni mésusé de son pouvoir d’appréciation en refusant d’entrer en matière sur la demande de reconsidération. Mal fondé, le recours sera donc rejeté. 7)</w:t>
      </w:r>
    </w:p>
    <w:p>
      <w:r>
        <w:t>Le présent arrêt rend sans objet la requête de mesures provisionnelles. 8)</w:t>
      </w:r>
    </w:p>
    <w:p>
      <w:r>
        <w:t>Compte tenu de l’issue du litige, un émolument de CHF 550.- sera mis à la charge des recourants, qui ne peuvent se voir octroyer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