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ATA/123/2011 vom 1. März 2011</w:t>
      </w:r>
    </w:p>
    <w:p>
      <w:r>
        <w:t>GE Cour de justice, 2011-03-01, FR</w:t>
      </w:r>
    </w:p>
    <w:p>
      <w:r>
        <w:rPr>
          <w:b/>
        </w:rPr>
        <w:t xml:space="preserve">Quelle: </w:t>
      </w:r>
      <w:r>
        <w:t>https://mcp.opencaselaw.ch/entscheid/ge_gerichte_ATA_123_2011</w:t>
      </w:r>
    </w:p>
    <w:p>
      <w:r>
        <w:t>FR: GE_GERICHTE ATA/123/2011 du 1 mars 2011</w:t>
      </w:r>
    </w:p>
    <w:p>
      <w:r>
        <w:t>IT: GE_GERICHTE ATA/123/2011 del 1 marzo 2011</w:t>
      </w:r>
    </w:p>
    <w:p>
      <w:pPr>
        <w:pStyle w:val="Heading2"/>
      </w:pPr>
      <w:r>
        <w:t>Regeste</w:t>
      </w:r>
    </w:p>
    <w:p>
      <w:r>
        <w:t>Résumé: Lorsqu'un appel d'offres et les directives y relatives mentionnent expressément des spécificités techniques, l'autorité adjudicatrice est tenue d'adjuger le marché public à un soumissionnaire dont l'offre remplit toutes les conditions requises. A défaut, l'adjudication revêt un caractère illicite. Si un contrat est conclu entre le département des constructions et des technologies de l'information et l'entreprise adjudicataire en dépit de l'illicéité, celle-ci ne peut plus qu'être constatée. Toutefois la voie d'une indemnisation à titre de dommages-intérêts du recourant, en l'occurrence un soumissionnaire lésé, est ouverte. En l'espèce, recours admis.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1.3</w:t>
      </w:r>
    </w:p>
    <w:p>
      <w:r>
        <w:t>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t>En l'espèce, la recourante a, dans un premier temps, agi en personne par devant la juridiction de céans. La décision attaquée, à savoir celle de l'office des bâtiments du DCTI du 26 février 2010, est clairement désignée. Malgré le fait que la recourante ne prenne pas de conclusions formelles, on comprend aisément à la lecture de son courrier qu'elle s'oppose à l'adjudication du marché public litigieux à une autre entreprise, parce qu'elle considère que l'offre de celle-ci ne respecte pas les conditions générales du marché.</w:t>
      </w:r>
    </w:p>
    <w:p>
      <w:r>
        <w:t>Le recours est ainsi recevable à tous points de vue.</w:t>
      </w:r>
    </w:p>
    <w:p>
      <w:r>
        <w:rPr>
          <w:b/>
        </w:rPr>
        <w:t>E. 2</w:t>
      </w:r>
    </w:p>
    <w:p>
      <w:r>
        <w:t>Le marché offert est soumis notamment à l'AIMP, au RMP et à la loi autorisant le Conseil d’Etat à adhérer à l’accord intercantonal sur les marchés publics du 12 juin 1997 (L-AIMP-L 6 05.0).</w:t>
      </w:r>
    </w:p>
    <w:p>
      <w:r>
        <w:rPr>
          <w:b/>
        </w:rPr>
        <w:t>E. 3</w:t>
      </w:r>
    </w:p>
    <w:p>
      <w:r>
        <w:t>Selon les art. 15 al. 1 et 2 AIMP, 3 al. 1 L-AIMP et 56 RMP, le recours est adressé à la chambre administrative dans les 10 jours dès la notification de la décision.</w:t>
      </w:r>
    </w:p>
    <w:p>
      <w:r>
        <w:t>Interjeté en temps utile devant la juridiction alors compétente, le recours est recevable de ce point de vue.</w:t>
      </w:r>
    </w:p>
    <w:p>
      <w:r>
        <w:rPr>
          <w:b/>
        </w:rPr>
        <w:t>E. 4</w:t>
      </w:r>
    </w:p>
    <w:p>
      <w:r>
        <w:t>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(ATA/517/2009 du 13 octobre 2009).</w:t>
      </w:r>
    </w:p>
    <w:p>
      <w:r>
        <w:t>En l'espèce, 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En tant que soumissionnaire évincée et, bien que le contrat ait été déjà conclu, la recourante conserve un intérêt actuel à recourir contre la décision</w:t>
      </w:r>
    </w:p>
    <w:p>
      <w:r>
        <w:t>- 11/16 - A/840/2010 d’adjudication au sens de l’art. 60 let. b LPA, son recours étant à même d’ouvrir ses droits à une indemnisation (ATF 125 II 86, consid. 5 b p. 96). Elle dispose donc de la qualité pour recourir.</w:t>
      </w:r>
    </w:p>
    <w:p>
      <w:r>
        <w:rPr>
          <w:b/>
        </w:rPr>
        <w:t>E. 5</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(ATA/478/2008 précité).</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ATA/179/2001 du 13 mars 2001 ; Société T. du 13 avril 1988 ; P. MOOR, op. cit. pp. 672-674 n. 5.7.1.3). Elle signifie que le recourant doit expliquer en quoi et pourquoi il s’en prend à la décision litigieuse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w:t>
      </w:r>
    </w:p>
    <w:p>
      <w:r>
        <w:t>- 12/16 - A/840/2010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consid.</w:t>
      </w:r>
    </w:p>
    <w:p>
      <w:r>
        <w:rPr>
          <w:b/>
        </w:rPr>
        <w:t>E. 6</w:t>
      </w:r>
    </w:p>
    <w:p>
      <w:r>
        <w:t>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w:t>
      </w:r>
    </w:p>
    <w:p>
      <w:r>
        <w:t>a. En particulier, le respect de l’égalité de traitement entre soumissionnaires (art. 1 al. 2 let. b et 11 let. a AIMP ; art. 16 RMP) oblige l’autorité adjudicatrice à traiter de manière égale les soumissionnaires pendant tout le déroulement formel de la procédure (ATA/884/2004 du 26 octobre 2004 ; J.-B. ZUFFEREY / C. MAILLARD / N. MICHEL, Droit des marchés publics, 2002, p. 109 ; B. BOVAY, La non discrimination en droit des marchés publics in RDAF 2004, p. 241). Le Tribunal administratif a déjà eu l’occasion de rappeler le caractère formaliste du droit des marchés publics qu’impose le respect de ce principe (ATA/150/2009 du 14 mars 2009 ; ATA/10/2009 du 13 janvier 2009).</w:t>
      </w:r>
    </w:p>
    <w:p>
      <w:r>
        <w:t>b. En vertu de ce principe, une offre qui ne correspond pas aux exigences de l’appel d’offres doit être considérée comme incomplète et ne peut être prise en compte. Dans une telle situation, le soumissionnaire doit être exclu du marché (art. 42 RMP ; Arrêt du Tribunal fédéral du 12 avril 2002, résumé in BR/DC 2003 n° 49 p. 156 ; J.-B. ZUFFEREY / C. MAILLARD / N. MICHEL, op. cit., p. 110.</w:t>
      </w:r>
    </w:p>
    <w:p>
      <w:r>
        <w:t>- 13/16 - A/840/2010 O. RODONDI, La gestion de la procédure de soumission, in J.-B. ZUFFEREY / H. STOECKLI, Droit des marchés publics 2008, p. 185, n° 63, p. 186).</w:t>
      </w:r>
    </w:p>
    <w:p>
      <w:r>
        <w:rPr>
          <w:b/>
        </w:rPr>
        <w:t>E. 7</w:t>
      </w:r>
    </w:p>
    <w:p>
      <w:r>
        <w:t>a. Selon l'art. 24 RMP, l'autorité adjudicatrice choisit des critères objectifs, vérifiables et pertinents par rapport au marché. Elle doit les énoncer clairement et par ordre d'importance au moment de l'appel d'offres et les faire figurer dans les documents de celui-ci (art. 27 RMP).</w:t>
      </w:r>
    </w:p>
    <w:p>
      <w:r>
        <w:t>b. Aux termes de l'art. 43 RMP, l'évaluation est faite selon les critères prédéfinis conformément à l'art. 24 et énumérés dans l'avis d'appel d'offres et/ou les documents d'appel d'offres (al. 1). Le résultat de l'évaluation des offres fait l'objet d'un tableau comparatif (al. 2). Par ailleurs, le marché est adjugé au soumissionnaire ayant déposé l'offre économiquement la plus avantageuse, c'est- à-dire celle qui présente le meilleur rapport qualité/prix (al. 3).</w:t>
      </w:r>
    </w:p>
    <w:p>
      <w:r>
        <w:t>En l'espèce, il n'y avait pas, de par les conditions générales posées, de nécessité de fournir immédiatement une certification anti-feu. C'est donc à tort que la recourante a invoqué ce grief. Néanmoins, selon le dossier d'appel d'offres, le marché litigieux portait sur la fourniture et la pose d'éléments composés de chants en PU injecté sur quatre côtés. Cette exigence était émise en rapport avec les directives précises fournies par les HUG pour ce type de matériel, intégrées à l'appel d'offres. Les soumissionnaires pouvaient donc comprendre que leur offre devait respecter ces conditions. En l'occurrence, l'entreprise adjudicataire a présenté une autre solution, soit des portes en bois certifiées anti-feu, avec des chants en polyuréthane collé sur trois côtés. Si cette proposition permettait peut- être d'arriver à un résultat plus économique, elle ne respectait pas le cahier des charges imposé. Par ce seul motif, Jos Berchtold AG aurait dû être écartée du marché, ou du moins obtenir une note inférieure lors de l'évaluation. Dès lors, en adjugeant le marché à cette entreprise, l'autorité adjudicatrice a violé le principe de l'égalité de traitement entre les différents soumissionnaires, en particulier par rapport à Duret S.A. qui proposait un produit conforme aux critères requis. Ce faisant, elle a contrevenu aux art. 1 AIMP et 43 RMP.</w:t>
      </w:r>
    </w:p>
    <w:p>
      <w:r>
        <w:rPr>
          <w:b/>
        </w:rPr>
        <w:t>E. 8</w:t>
      </w:r>
    </w:p>
    <w:p>
      <w:r>
        <w:t>Au vu de ce qui précède, le recours sera admis et le caractère illicite de la décision d'adjudication du marché litigieux à Jos Berchtold AG constaté.</w:t>
      </w:r>
    </w:p>
    <w:p>
      <w:r>
        <w:t>a. Aux termes de l’art. 3 al. 3 L-AIMP, si le caractère illicite de la décision est constaté, le recourant peut demander devant l’autorité compétente la réparation de son dommage, limitée aux dépenses qu’il a subies en relation avec les procédures de soumission et de recours.</w:t>
      </w:r>
    </w:p>
    <w:p>
      <w:r>
        <w:t>b. Par dépenses « subies » « en relation » avec ces procédures, le législateur a visé les dépenses exposées par le soumissionnaire lésé ; il a nécessairement exclu les dépenses inutiles ou superflues que celui-ci a engagées du fait d’une mauvaise gestion ou de circonstances exorbitantes auxdites procédures. Du point de vue du</w:t>
      </w:r>
    </w:p>
    <w:p>
      <w:r>
        <w:t>- 14/16 - A/840/2010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p. 13 et les références citées).</w:t>
      </w:r>
    </w:p>
    <w:p>
      <w:r>
        <w:t>c. La L-AIMP est calquée, de ce point de vue, sur la loi fédérale sur les marchés publics du 16 décembre 1994 (LMP – RS 172.056.1) qui prévoit, en son art. 34 al. 1, une limitation de la responsabilité aux dépenses « nécessaires » engagées par le soumissionnaire en relation avec les procédures d’adjudication et de recours. Plus explicitement que dans la L-AIMP, mais de la même manière, la loi fédérale exclut les dépenses subies par le soumissionnaire lésé qui sortent du cadre des dépenses ordinaires consenties par une société régulièrement administrée.</w:t>
      </w:r>
    </w:p>
    <w:p>
      <w:r>
        <w:t>d. Selon la jurisprudence de la chambre de céans, le dommage que peut donc réclamer la recourante en se fondant sur l’art. 3 al. 3 L-AIMP est limité à la réparation des impenses engagées dans la procédure de soumission, inclut le remboursement de ses frais d’avocat, à défaut de la réparation du gain manqué, voire d’autres indemnités susceptibles d’être réclamées en raison de la conclusion anticipée du contrat (ATA/626/2009 du 1er décembre 2009 ; ATA/409/2005 du 7 juin 2005).</w:t>
      </w:r>
    </w:p>
    <w:p>
      <w:r>
        <w:t>En l'espèce, la recourante affirme avoir engagé un montant de CHF 1'630,15 à titre de frais encourus pour établir sa soumission. Ce montant n’est pas discuté par l’intimé et paraît raisonnable au regard de l’importance de la procédure d’adjudication. Il sera donc admis. Elle allègue également avoir exposé CHF 6'287,10 de frais d’avocat au 7 juillet 2010. Ce montant n'est pas davantage contesté. Compte tenu du volume de travail que le contentieux a généré pour son conseil et du tarif horaire appliqué par celui-ci pour établir la note d'honoraires qui correspond au tarif usuel pratiqué par les avocats, ce poste de la demande d'indemnisation sera également admis.</w:t>
      </w:r>
    </w:p>
    <w:p>
      <w:r>
        <w:rPr>
          <w:b/>
        </w:rPr>
        <w:t>E. 9</w:t>
      </w:r>
    </w:p>
    <w:p>
      <w:r>
        <w:t>Selon la jurisprudence du Tribunal fédéral, l'Etat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95 I 263 consid. 3 p. 262).</w:t>
      </w:r>
    </w:p>
    <w:p>
      <w:r>
        <w:t>La mise en demeure intervient le jour où le lésé demande le paiement de son dommage (ATF 101 Ib 252 consid. 4b p. 259). En l’espèce, cette date correspond à celle du dépôt de sa réplique, dans laquelle la recourante a conclu à la réparation de son dommage, soit le 7 juillet 2010.</w:t>
      </w:r>
    </w:p>
    <w:p>
      <w:r>
        <w:t>- 15/16 - A/840/2010</w:t>
      </w:r>
    </w:p>
    <w:p>
      <w:r>
        <w:rPr>
          <w:b/>
        </w:rPr>
        <w:t>E. 10</w:t>
      </w:r>
    </w:p>
    <w:p>
      <w:r>
        <w:t>Vu l'issue du litige, un émolument de CHF 1'500.- sera mis à la charge du DCTI. En outre, une indemnité de procédure de CHF 500.-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