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ATA/1238/2015 vom 17. November 2015</w:t>
      </w:r>
    </w:p>
    <w:p>
      <w:r>
        <w:t>GE Cour de justice, 2015-11-17, FR</w:t>
      </w:r>
    </w:p>
    <w:p>
      <w:r>
        <w:rPr>
          <w:b/>
        </w:rPr>
        <w:t xml:space="preserve">Quelle: </w:t>
      </w:r>
      <w:r>
        <w:t>https://mcp.opencaselaw.ch/entscheid/ge_gerichte_ATA_1238_2015</w:t>
      </w:r>
    </w:p>
    <w:p>
      <w:r>
        <w:t>FR: GE_GERICHTE ATA/1238/2015 du 17 novembre 2015</w:t>
      </w:r>
    </w:p>
    <w:p>
      <w:r>
        <w:t>IT: GE_GERICHTE ATA/1238/2015 del 17 novembre 2015</w:t>
      </w:r>
    </w:p>
    <w:p>
      <w:pPr>
        <w:pStyle w:val="Heading2"/>
      </w:pPr>
      <w:r>
        <w:t>Erwägungen</w:t>
      </w:r>
    </w:p>
    <w:p>
      <w:r>
        <w:rPr>
          <w:b/>
        </w:rPr>
        <w:t>E. 12</w:t>
      </w:r>
    </w:p>
    <w:p>
      <w:r>
        <w:t>septembre 1985 - LPA - E 5 10) ; art. 7 al. 2 de la loi de procédure fiscale du 4 octobre 2001 - LPFisc - D 3 17). 2)</w:t>
      </w:r>
    </w:p>
    <w:p>
      <w:r>
        <w:t>Le litige porte sur le traitement fiscal réservé à la provision pour « garanties et finitions de chantiers » de CHF 176'204,75.- figurant au passif du bilan de la contribuable au 31 décembre 2009.</w:t>
      </w:r>
    </w:p>
    <w:p>
      <w:r>
        <w:t>- 5/8 - A/2971/2013 3)</w:t>
      </w:r>
    </w:p>
    <w:p>
      <w:r>
        <w:t>Impôt fédéral direct</w:t>
      </w:r>
    </w:p>
    <w:p>
      <w:r>
        <w:t>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(ATA/520/2014 du 1er juillet 2014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w:t>
      </w:r>
    </w:p>
    <w:p>
      <w:r>
        <w:t>- 6/8 - A/2971/2013 situation prévalant au moment où le bilan est établi (ATF 103 Ib 366 consid. 4 p. 370).</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w:t>
      </w:r>
    </w:p>
    <w:p>
      <w:r>
        <w:t>La pratique et la jurisprudence ont toutefois assoupli ces principes en admettant la constitution d’une provision forfaitaire leur donnant parfois une base légale ou réglementaire (art. 15 de l’ordonnance du Conseil exécutif du canton de Berne sur les amortissements du 18 octobre 2000 - OAm - RS BE 661.312.59 ; arrêt du Tribunal fédéral 2C_553/2007 du 29 septembre 2008 consid. 2.1), les cantons concernés appliquant ces provisions forfaitaires aussi bien en matière d’impôt cantonaux que fédéraux. Les taux appliqués varient, dans ces cantons, entre 1 et 2 % (arrêt du Tribunal fédéral 2C_553/2007 précité consid. 2.1, dernier paragraphe), les contribuables concernés conservant la possibilité de constituer une provision dépassant le taux forfaitaire, pour autant qu’ils démontrent que le montant retenu se fonde sur les appels aux prestations de garantie apparus au cours des exercices précédents. 4)</w:t>
      </w:r>
    </w:p>
    <w:p>
      <w:r>
        <w:t>En l’espèce, la société indique que la détermination du risque repose sur un calcul forfaitaire prenant en compte 2,5 % de son du chiffre d’affaires 2008 et 5 % de son chiffres d'affaires 2009. Le mode de calcul était basé sur les honoraires de sous-traitance et le personnel temporaire engagé et non pas sur le volume annuel de travaux de garantie effectués concrètement au cours des exercices précédents. Il n’est donc pas admissible car contrevenant aux règles, même assouplies, d’admission sur le plan fiscal de provision pour garantie rappelées ci- dessus.</w:t>
      </w:r>
    </w:p>
    <w:p>
      <w:r>
        <w:t>Le TAPI retient un taux de 3 % alors que l’AFC-GE propose un taux de 1,5 %. Ce dernier taux doit être retenu, dès lors qu’il n’y a pas lieu de s’écarter de la jurisprudence de la chambre de céans (ATA/552/2014 du 17 juillet 2014 ; ATA/520/2014 précité). 5)</w:t>
      </w:r>
    </w:p>
    <w:p>
      <w:r>
        <w:t>Au vu de ces éléments, le recours sera admis partiellement et la provision pour « garanties et finitions de chantiers » fixée à 1,5 % du chiffre d’affaires annuel 2009 de la contribuable (CHF 2'622'368.79), soit CHF 33'335.55. La provision excessive à réintégrer dans le bénéfice sera donc de CHF 142'869.20.</w:t>
      </w:r>
    </w:p>
    <w:p>
      <w:r>
        <w:t>- 7/8 - A/2971/2013 6)</w:t>
      </w:r>
    </w:p>
    <w:p>
      <w:r>
        <w:t>Impôt cantonal et communal</w:t>
      </w:r>
    </w:p>
    <w:p>
      <w:r>
        <w:t>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w:t>
      </w:r>
    </w:p>
    <w:p>
      <w:r>
        <w:t>Une solution identique doit donc prévaloir en matière d’ICC. 7)</w:t>
      </w:r>
    </w:p>
    <w:p>
      <w:r>
        <w:t>En conséquence, le recours de l’AFC-GE sera admis partiellement et le jugement du TAPI sera annulé de même que les bordereaux IFD 2009 et ICC 2009 du 11 avril 2013. La cause sera retournée à l’AFC-GE afin que cette dernière établisse des nouveaux bordereaux de taxation ICC et IFD 2009 admettant une provision pour « garanties et finitions de chantiers » de CHF 33'335.55, le solde de CHF 142'869.20 devant être réintégré au bénéfice. 8)</w:t>
      </w:r>
    </w:p>
    <w:p>
      <w:r>
        <w:t>Malgré l’issue du litige, aucune émolument ne sera mis à la charge de la société, cette dernière n’ayant pas pris de conclusions devant la chambre de céans,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