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ATA/1237/2023 vom 14. November 2023</w:t>
      </w:r>
    </w:p>
    <w:p>
      <w:r>
        <w:t>GE Cour de justice, 2023-11-14, FR</w:t>
      </w:r>
    </w:p>
    <w:p>
      <w:r>
        <w:rPr>
          <w:b/>
        </w:rPr>
        <w:t xml:space="preserve">Quelle: </w:t>
      </w:r>
      <w:r>
        <w:t>https://mcp.opencaselaw.ch/entscheid/ge_gerichte_ATA_1237_2023</w:t>
      </w:r>
    </w:p>
    <w:p>
      <w:r>
        <w:t>FR: GE_GERICHTE ATA/1237/2023 du 14 novembre 2023</w:t>
      </w:r>
    </w:p>
    <w:p>
      <w:r>
        <w:t>IT: GE_GERICHTE ATA/1237/2023 del 14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- 6/13 - A/247/2023 2. Le recourant sollicite préalablement son audition.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le recourant a eu l’occasion de s’exprimer, de faire valoir ses arguments et de produire toute pièce utile à plusieurs reprises devant l’OCPM, le TAPI puis la chambre de céans. Il n’expose pas quels éléments supplémentaires utiles à la solution du litige, qu’il n’aurait pu produire par écrit, son audition serait susceptible d’apporter. Il ne sera ainsi pas donné suite à sa demande d’audition. 3. Le litige porte sur la conformité au droit du refus de l'autorité intimée de préaviser favorablement le dossier du recourant auprès du SEM pour l'octroi d'une autorisation de séjour pour cas individuel d'extrême gravité. 3.1 Le 1er janvier 2019 est entrée en vigueur une modification de la LEI et de l'OASA. Conformément à l'art. 126 al. 1 LEI, la demande déposée par le recourant pour la reconnaissance d'un cas individuel d'extrême gravité dans le cadre de l’« opération Papyrus » a été déposée le 7 mai 2018, soit avant le 1er janvier 2019, de sorte que son examen est régi par l'ancien droit. 3.2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w:t>
      </w:r>
    </w:p>
    <w:p>
      <w:r>
        <w:t>- 7/13 - A/247/2023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1er septembre 2023, ch. 5.6.10 [ci-après : directives LEI]).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3.3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w:t>
      </w:r>
    </w:p>
    <w:p>
      <w:r>
        <w:t>- 8/13 - A/247/2023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 opération Papyrus » s’est terminée le 31 décembre 2018. 3.4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3.5 En l’espèce, s’agissant d’abord des conditions de l’« opération Papyrus, le recourant fait valoir qu’il réside à Genève depuis 2007. Il n’a toutefois produit aucune pièce permettant d’attester d’un séjour en Suisse avant 2009. Ainsi, à défaut de pièces justificatives, il n’est pas possible de retenir qu’au moment de sa demande de régularisation en 2018, le recourant remplissait la condition du séjour minimum de dix ans. C’est partant à bon droit que le TAPI a retenu que les conditions de l’« opération Papyrus » n’étaient pas réunies. Quant aux conditions permettant de retenir un cas de rigueur, elles ne sont pas non plus réalisées. Comme l’a retenu le TAPI, les pièces au dossier, en particulier l’extrait de son compte individuel AVS, permettent de démontrer un séjour en Suisse, tout au plus, depuis 2013. La durée du séjour doit toutefois être fortement relativisée, l’intégralité de celui-ci s’étant déroulée dans l’illégalité, ou au bénéfice d’une simple tolérance des autorités. Le recourant ne peut se prévaloir d’une intégration sociale remarquable. Il n’a certes pas recouru à l’aide sociale et justifie d’un niveau A2 de langue française. Cela étant, son épouse et ses deux enfants ne vivent pas en Suisse, de sorte que ses liens affectifs et familiaux ne s’y trouvent pas. Il ne fait pas non plus valoir qu’il s’investirait d’une quelconque manière dans la vie associative, sportive ou culturelle à Genève, ni qu’il y aurait noué des liens amicaux d’une intensité telle qu’il ne pourrait les poursuivre par le biais de moyens de télécommunication</w:t>
      </w:r>
    </w:p>
    <w:p>
      <w:r>
        <w:t>- 9/13 - A/247/2023 modernes une fois de retour au Kosovo. En outre, il a été condamné pour infractions à la LEI. Sur le plan professionnel, le recourant a exercé différentes activités dans le domaine du bâtiment. Il indique avoir accumulé des dettes et actes de défaut de biens en raison de salaires impayés de son dernier employeur, lequel est tombé en faillite. L’intéressé a certes récemment trouvé un emploi à plein temps en tant que manœuvre auprès de la société G______ Sàrl, lequel devrait lui permettre de rembourser ses dettes. Cela étant, l'indépendance économique est un aspect qui est en principe attendu de tout étranger désireux de s'établir durablement en Suisse et ne constitue donc pas un élément extraordinaire en faveur du recourant. Par ailleurs, ses activités,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Pour le reste, le recourant indique avoir quitté le Kosovo alors qu’il était âgé de 34 ans. Il y a donc passé son enfance, son adolescence et une bonne partie de sa vie d’adulte. Il connaît donc les us et coutumes de son pays, en parle la langue et y a fondé une famille. Il a, par ailleurs, conservé des liens avec sa femme et ses deux fils qui y résident toujours, au vu des demandes de visa qu’il a formulées encore récemment. Il n'est ainsi pas concevable que son pays d'origine lui soit devenu à ce point étranger qu'il ne serait plus en mesure, après une période de réadaptation, d'y retrouver ses repères. C’est partant à juste titre que tant l’autorité intimée, qui a correctement appliqué le droit et n’a pas abusé de son pouvoir d’appréciation, que le TAPI, ont retenu que les conditions d’octroi d’une autorisation de séjour pour cas de rigueur n’étaient pas remplies. 4. Reste à examiner si le renvoi prononcé par l’OCPM était fondé. 4.1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4.2 En l'espèce, dès lors qu'il a, à juste titre, refusé l’octroi d’une autorisation de séjour au recourant, l'intimé devait prononcer son renvoi. Le recourant n’invoque</w:t>
      </w:r>
    </w:p>
    <w:p>
      <w:r>
        <w:t>- 10/13 - A/247/2023 aucun élément permettant de retenir que son renvoi ne serait pas possible, licite ou ne pourrait raisonnablement être exigé ; de tels éléments ne ressortent pas non plus du dossier. Entièrement mal fondé, le recours sera rejeté.</w:t>
      </w:r>
    </w:p>
    <w:p>
      <w:r>
        <w:rPr>
          <w:b/>
        </w:rPr>
        <w:t>E. 5</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