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ATA/1236/2022 vom 6. Dezember 2022</w:t>
      </w:r>
    </w:p>
    <w:p>
      <w:r>
        <w:t>GE Cour de justice, 2022-12-06, FR</w:t>
      </w:r>
    </w:p>
    <w:p>
      <w:r>
        <w:rPr>
          <w:b/>
        </w:rPr>
        <w:t xml:space="preserve">Quelle: </w:t>
      </w:r>
      <w:r>
        <w:t>https://mcp.opencaselaw.ch/entscheid/ge_gerichte_ATA_1236_2022</w:t>
      </w:r>
    </w:p>
    <w:p>
      <w:r>
        <w:t>FR: GE_GERICHTE ATA/1236/2022 du 6 décembre 2022</w:t>
      </w:r>
    </w:p>
    <w:p>
      <w:r>
        <w:t>IT: GE_GERICHTE ATA/1236/2022 del 6 dicembre 2022</w:t>
      </w:r>
    </w:p>
    <w:p>
      <w:pPr>
        <w:pStyle w:val="Heading2"/>
      </w:pPr>
      <w:r>
        <w:t>Erwägungen</w:t>
      </w:r>
    </w:p>
    <w:p>
      <w:r>
        <w:rPr>
          <w:b/>
        </w:rPr>
        <w:t>E. 12</w:t>
      </w:r>
    </w:p>
    <w:p>
      <w:r>
        <w:t>septembre 1985 - LPA - E 5 10). 2)</w:t>
      </w:r>
    </w:p>
    <w:p>
      <w:r>
        <w:t>Le litige est circonscrit à la question de savoir si les recourants doivent être imposés sur l’intégralité ou la moitié de la valeur locative – non contestée – de CHF 14'736.- de la maison sise en Angleterre et s’ils peuvent en déduire les frais d’entretien effectifs. 3) a. De jurisprudence constante, les questions de droit matériel sont résolues en fonction du droit en vigueur lors des périodes fiscales litigieuses (ATA/143/2022 du 8 février 2022 consid. 3a ; ATA/533/2021 du 18 mai 2021 consid. 2a). Le présent litige concerne les exercices fiscaux 2007 à 2016.</w:t>
      </w:r>
    </w:p>
    <w:p>
      <w:r>
        <w:t>b. En matière d’ICC,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La présente cause est donc régie, pour l’IFD, par la LIFD dans sa teneur pour les années en cause et pour l’ICC, par les dispositions de l’ancien droit (aLIPP-I à V) pour les années fiscales 2007 à 2009 et par le nouveau droit pour les années fiscales 2010 à 2016, ainsi que par la loi fédérale sur l'harmonisation des impôts directs des cantons et des communes du 14 décembre 1990 (LHID - RS 642.14).</w:t>
      </w:r>
    </w:p>
    <w:p>
      <w:r>
        <w:t>c. Par ailleurs, la question étant traitée de la même manière en droit fédéral et en droit cantonal harmonisé, le présent arrêt traite simultanément des deux impôts, comme l'admet la jurisprudence (ATF 135 II 260 ; ATA/143/2022 précité consid. 2b). 4) a. Selon l'art. 16 LIFD, l'impôt sur le revenu a pour objet tous les revenus du contribuable, qu'ils soient uniques ou périodiques. Sont aussi considérés comme revenus les prestations en nature de tout genre dont le contribuable bénéficie,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b. Parmi les revenus soumis à imposition figure la valeur locative d'un bien immobilier, propriété du contribuable. Il s'agit d'un revenu en nature dont la valeur</w:t>
      </w:r>
    </w:p>
    <w:p>
      <w:r>
        <w:t>- 8/16 - A/4283/2021 économique correspond au loyer que le contribuable aurait pu obtenir d'un tiers en louant son logement (ATF 131 I 157 consid. 2.2 ; 112 I a 242 ; Xavier OBERSON, Droit fiscal suisse, 5ème éd. 2021, p. 233 n. 233 ; Yves NOËL in Danielle YERSIN/Yves NOËL [éd.], Impôt fédéral direct, Commentaire de la loi sur l'impôt fédéral direct, 2ème éd., 2017, n. 55 ad art. 16 LIFD).</w:t>
      </w:r>
    </w:p>
    <w:p>
      <w:r>
        <w:t>c. La valeur locative des immeubles sis à l'étranger n'entre en considération que pour la détermination du taux d'imposition des contribuables, tant pour l'IFD que pour l'ICC (ATF 140 II 157 consid. 7.5).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3ème phr. LIFD (arrêts du Tribunal fédéral 2C_137/2019 du 23 janvier 2020 consid. 5.1 ; 2C_585/2012 du 6 mars 2014 consid. 3).</w:t>
      </w:r>
    </w:p>
    <w:p>
      <w:r>
        <w:t>d.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e.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w:t>
      </w:r>
    </w:p>
    <w:p>
      <w:r>
        <w:t>f. L'IFD et les impôts cantonaux ne connaissent pas d'harmonisation verticale. La loi sur l'harmonisation fiscale n'impose pas aux cantons de méthode déterminée pour le calcul de la valeur locative en matière d'ICC (arrêts du Tribunal fédéral 2C_1/2019 du 16 janvier 2020 consid. 4.2 ; 2C_829/2016 du 10 mai 2017 consid. 10.1 et 10.3).</w:t>
      </w:r>
    </w:p>
    <w:p>
      <w:r>
        <w:t>- 9/16 - A/4283/2021</w:t>
      </w:r>
    </w:p>
    <w:p>
      <w:r>
        <w:t>Les cantons jouissent donc d'une certaine marge de manœuvre dans la fixation de la valeur locative (ATF 124 I 145 consid. 3 b et c ; arrêt du Tribunal fédéral 2C_1/2019 précité consid. 4.2 et les autres références citées).</w:t>
      </w:r>
    </w:p>
    <w:p>
      <w:r>
        <w:t>g.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w:t>
      </w:r>
    </w:p>
    <w:p>
      <w:r>
        <w:t>Se fondant sur l’information du 1er février 1991, l’AFC-GE a pour pratique d'estimer la valeur locative des immeubles situés dans un pays qui ne connait pas l'imposition de la valeur locative, à 4,5 % de la valeur fiscale du bien (villa ou appartement en PPE). Le taux de 4,5 %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en considération que pour déterminer le taux d'imposition.</w:t>
      </w:r>
    </w:p>
    <w:p>
      <w:r>
        <w:t>Le Tribunal fédéral a relevé que si l'AFC-GE avait effectivement édicté le 28 juin 2007 une lettre-circulaire n° 5/2007 relative à la nouvelle détermination de la valeur locative genevoise, rien n'indiquait que l'information de 1991 ait été supprimée ou remplacée s'agissant de la valeur locative des immeubles situés à l'étranger et que l’AFC-GE pouvait a priori s’y référer afin de fixer une pratique uniforme en matière de calcul de la valeur locative des immeubles situés dans des pays qui ne connaissaient pas l’imposition de la valeur locative (arrêts du Tribunal fédéral 2C_829/2016 et 2C_830/2016 précités consid. 6.3).</w:t>
      </w:r>
    </w:p>
    <w:p>
      <w:r>
        <w:t>h. L'information du 1er février 1991 n'a pas force de loi et ne lie pas le Tribunal fédéral et les autres autorités d'application du droit (ATF 142 II 182 consid. 2.3.2 ; 137 II 284 consid. 5.2.2 ; 108 Ib 19 consid. 4a). Le juge peut s'en écarter s'il l'estime contraire à la loi ou à une ordonnance. Toutefois, si cette information</w:t>
      </w:r>
    </w:p>
    <w:p>
      <w:r>
        <w:t>- 10/16 - A/4283/2021 permet une application correcte des dispositions légales dans le cas d'espèce, il y a lieu d'en tenir compte (ATF 142 II 182 consid. 2.3.2 ; arrêts du Tribunal fédéral 2C_25/2021 précité consid. 4.3 ; 2C_829/2016 précité du 10 mai 2017 consid. 6.3).</w:t>
      </w:r>
    </w:p>
    <w:p>
      <w:r>
        <w:t>i. S'agissant de l'application de ces directives et de la conformité de la méthode forfaitaire de calcul de la valeur locative, le Tribunal fédéral a retenu à plusieurs reprises que la méthode de calcul de l'AFC-GE, pour les immeubles situés dans des pays qui ne connaissent pas l'imposition de la valeur locative, n’était pas contraire au droit fédéral (arrêt du Tribunal fédéral 2C_137/2019 précité consid. 6.2). Il a en particulier relevé que cette méthode n'apparaissait pas contraire à l'art. 21 al. 2 LIFD (arrêts du Tribunal fédéral 2C_137/2019 précité consid. 6.2 ; 2C_829 et 830/2016 du 10 mai 2017 consid. 7.6) ou au principe de l’égalité de traitement (arrêts du Tribunal fédéral 2C_829/2016 et 2C_830/2016 précités consid. 9).</w:t>
      </w:r>
    </w:p>
    <w:p>
      <w:r>
        <w:t>j. Dès lors que la valeur locative d'un immeuble sis à l'étranger n'entre pas en considération dans l'assiette de l'impôt sur le revenu, mais uniquement dans la fixation du taux d'imposition, on peut admettre que les administrations fiscales se montrent plus schématiques dans leur méthode de calcul (ATF 140 II 157 consid. 7.5 ; ATA/120/2019 précité consid. 9). 5) a. Selon l’art. 253 de la loi fédérale complétant le Code civil suisse du 30 mars 1911 (Livre cinquième : Droit des obligations - CO - RS 220) : « Le bail à loyer est un contrat par lequel le bailleur s’oblige à céder l’usage d’une chose au locataire, moyennant un loyer ». Le montant du loyer est un élément essentiel du contrat de bail ; ce montant doit être déterminé ou à tout le moins déterminable sur la base de l'accord des parties (ATF 119 II 347 consid. 5a ; arrêt du Tribunal fédéral 4A_85/2021 du 8 juillet 2021 consid. 5.1). Sans paiement d’un loyer, il n’y a pas de bail. La bail « gratuit » est un contrat de prêt à usage (David LACHAT, Le bail à loyer, 2008, n. 1.6.1, p. 82). Cela ressort clairement de la définition légale du prêt à usage, qui prévoit que « le prêt à usage est un contrat par lequel le prêteur s’oblige à céder gratuitement l’usage d’une chose que l’emprunteur s’engage à lui rendre après s’en être servi » (art. 305 CO).</w:t>
      </w:r>
    </w:p>
    <w:p>
      <w:r>
        <w:t>b. Lorsque l'immeuble ou son usage est cédé à un tiers gratuitement par le propriétaire, sans contre-prestation, et en dehors d'un droit d'usufruit ou d'habitation gratuit, la jurisprudence et la doctrine estiment qu'il s'agit également d'une occupation propre du propriétaire et qualifie la relation de prêt à usage à titre gratuit, au sens de l'art. 305 de la loi fédérale complétant le Code civil suisse du 30 mars 1911 (Livre cinquième : Droit des obligations - CO - RS 220). Ce dernier, qui a le caractère d'une donation, ne déclenche aucun impôt sur le revenu chez le bénéficiaire de l'usage. La valeur locative est alors imposable seulement chez le propriétaire octroyant cet usage gratuit. Quand bien même le propriétaire ne peut plus disposer du bien immobilier, il est considéré, d’un point de vue fiscal,</w:t>
      </w:r>
    </w:p>
    <w:p>
      <w:r>
        <w:t>- 11/16 - A/4283/2021 comme possesseur (« Inhaber ») de celui-ci, de sorte qu’il est imposé sur la valeur fiscale du bien (ATF 146 II 97 consid. 2.4.2 ; arrêts du Tribunal fédéral 2C_500/2018 du 8 avril 2020 consid. 4.3; 2A.535/2003 du 28 janvier 2005 consid. 2.3 ; A.299/1978 du 22 décembre 1978 consid. 3.c, publ. In : ASA 48 478 ; Nicolas MERLINO, Commentaire romand - Impôt fédéral direct - Commentaire sur la loi sur l'impôt fédéral direct, Bâle 2008, ad art. 21 n. 86).</w:t>
      </w:r>
    </w:p>
    <w:p>
      <w:r>
        <w:t>La jurisprudence a précisé que dans la mise à disposition gratuite d’un bien immobilier à un proche, le propriétaire offre la location gratuite, de sorte que l’emprunteur ne réalise aucun revenu, dès lors que la gratuité du loyer constitue une donation pour lui. Le loyer revient alors au propriétaire, même si celui-ci le restitue immédiatement à la personne occupant le bien en question. Si le propriétaire entend se soustraire à cette imposition, il lui appartient de prévoir un usufruit, qui reporte la charge fiscale sur l’usufruitier. En présence d’un contrat de prêt à usage, il convient de déduire du fait qu’un tel contrat est facilement résiliable que le propriétaire en est demeuré le possesseur, malgré le fait qu’il n’en a pas l’usage (ATF 115 Ia 329 consid. 2c).</w:t>
      </w:r>
    </w:p>
    <w:p>
      <w:r>
        <w:t>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(arrêts du Tribunal fédéral 2C_719/2017 du 26 avril 2019 consid. 2.5.1 ; 2C_892/2014 du 7 mai 2015 consid. 3.2 et les nombreuses références citées).</w:t>
      </w:r>
    </w:p>
    <w:p>
      <w:r>
        <w:t>En cas d’usage contre rémunération du bien immobilier par un tiers, il n’y a pas de place pour l’imposition selon la valeur locative, ni auprès du propriétaire, ni auprès du bénéficiaire, dès lors que la perception d’un loyer est fiscalement déterminante. Tel n’est précisément pas le cas lorsque le bien est remis au titre d’un prêt à usage gratuit. Lorsque le loyer convenu entre proches est trop faible, il n’en découle pas pour autant que l’on est en présence d’un usage personnel du bien au sens de l’art. 21 al. 1 let. b LIFD (ATF 146 II 97). 6)</w:t>
      </w:r>
    </w:p>
    <w:p>
      <w:r>
        <w:t>En l’espèce, il convient de déterminer le type de jouissance sur le bien immobilier dont la mère de la recourante bénéficiait. Dans la mesure où les recourants se prévalent de l’existence d’un contrat de bail, dont le loyer se montait</w:t>
      </w:r>
    </w:p>
    <w:p>
      <w:r>
        <w:t>- 12/16 - A/4283/2021 à la moitié de la valeur locative de CHF 14'736.-, il leur appartient d’en apporter la preuve.</w:t>
      </w:r>
    </w:p>
    <w:p>
      <w:r>
        <w:t>Or, dans leur réclamation et leur recours devant le TAPI, les recourants ont indiqué que la maison n’était pas louée, mais occupée par la mère de la recourante. Répondant à une demande de l’AFC-GE le 15 novembre 2021, ils ont exposé que celle-ci avait été dispensée de s’acquitter d’un loyer. Contrairement à ce que soutiennent les recourants, le versement d’un loyer est un élément caractéristique du contrat de bail. Cette exigence ressort clairement de l’art. 253 CO. Comme exposé ci-dessus, le contrat par lequel les parties prévoient une mise à disposition gratuite de l’usage d’un logement est un contrat de prêt à usage. À défaut de paiement d’un loyer par l’occupante de la maison sise en Angleterre, la mise à disposition de celle-ci à titre gratuit conduit à retenir que les recourants conservaient, au sens fiscal, l’usage de leur bien immobilier, de sorte qu’ils doivent être imposés sur la valeur locative de celui-ci.</w:t>
      </w:r>
    </w:p>
    <w:p>
      <w:r>
        <w:t>Par ailleurs, quand bien même il conviendrait de retenir que les recourants, qui soutiennent également ce point de vue dans leurs écritures, en cédant l’usage gratuit de la maison de la recourante à la mère de celle-ci ont souhaité faire donation du loyer à la locataire, il y aurait néanmoins lieu d’imputer le loyer à la propriétaire. En effet, le loyer serait alors revenu à la recourante, avant qu’elle l’aurait immédiatement restitué à sa mère. Dans cette hypothèse également, la recourante devrait néanmoins être imposée sur la valeur locative, comme cela a été exposé ci-dessus.</w:t>
      </w:r>
    </w:p>
    <w:p>
      <w:r>
        <w:t>Les recourants se plaignent, en outre, du fait que le TAPI n’a pas examiné l’existence d’un usufruit ou d’un droit d’habitation en faveur de la mère de la recourante. À cet égard, il convient de relever que l’admission d’un tel contrat irait à l’encontre des intentions qui ont animé les recourants. Ceux-ci ont, de manière constante, exposé que la mère de la recourante ne parvenait plus à assumer les frais liés à la maison, qui étaient acquittés par la recourante. Cette dernière soutenait financièrement sa mère, qui était désargentée. C’était la raison pour laquelle, après la donation de la maison, elle l’avait dispensée du paiement d’un loyer. Or, retenir l’existence d’un usufruit ou d’un droit d’habitation reviendrait à déplacer sur la mère de la recourante la charge fiscale liée à l’usage de la maison. Une telle manière de faire, qui impose des frais à l’occupante, ne correspond nullement à la volonté des recourants, qui au contraire ont entendu soulager la charge financière de la mère de la contribuable. L’existence d’un droit d’habitation ou d’un usufruit doit donc être niée.</w:t>
      </w:r>
    </w:p>
    <w:p>
      <w:r>
        <w:t>Au vu de ce qui précède, il convient de retenir que les recourants ont échoué à démontrer l’existence d’un usufruit, d’un droit d’habitation ou d’un contrat de bail, de sorte qu’ils ont conservé, au sens de l’art. 21 al. 1 let. b LIFD, l’usage de la maison sise en Angleterre, ce alors même qu’ils ne pouvaient plus disposer du bien immobilier aussi longtemps que la mère de la recourante pouvait y vivre.</w:t>
      </w:r>
    </w:p>
    <w:p>
      <w:r>
        <w:t>- 13/16 - A/4283/2021</w:t>
      </w:r>
    </w:p>
    <w:p>
      <w:r>
        <w:t>Les recourants ont ainsi, à juste titre, été imposés sur la valeur locative du bien en question. 7)</w:t>
      </w:r>
    </w:p>
    <w:p>
      <w:r>
        <w:t>Il convient, en second lieu, d’examiner si les frais effectifs d’entretien de l’immeuble sis en Angleterre sont déductibles.</w:t>
      </w:r>
    </w:p>
    <w:p>
      <w:r>
        <w:t>a.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Au lieu du montant effectif des frais et primes se rapportant aux immeubles privés, le contribuable peut faire valoir une déduction forfaitaire. Le Conseil fédéral arrête cette déduction forfaitaire (art. 32 al. 4 LIFD).</w:t>
      </w:r>
    </w:p>
    <w:p>
      <w:r>
        <w:t>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w:t>
      </w:r>
    </w:p>
    <w:p>
      <w:r>
        <w:t>Conformément à l'art. 3 de l’ordonnance sur les frais relatifs aux immeubles,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 Martin ZWEIFEL/Michael BEUSCH [éd.], Kommentar zum DBG, 3ème éd. 2017, n. 31 ad art. 32 LIFD).</w:t>
      </w:r>
    </w:p>
    <w:p>
      <w:r>
        <w:t>Toutefois, le principe de la possibilité de choisir ne permet en aucun cas le cumul d'une déduction forfaitaire et des frais effectifs (ATA/1340/2021 du 7 décembre 2021 consid. 3f ; ATA/787/2021 du 27 juillet 2021 consid. 11b ; ATA/120/2019 du 5 février 2019 consid. 9).</w:t>
      </w:r>
    </w:p>
    <w:p>
      <w:r>
        <w:t>b.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ATA/1340/2021 précité consid. 3g).</w:t>
      </w:r>
    </w:p>
    <w:p>
      <w:r>
        <w:t>- 14/16 - A/4283/2021</w:t>
      </w:r>
    </w:p>
    <w:p>
      <w:r>
        <w:t>c. Les recourants considèrent qu’il y a lieu de déduire de la valeur locative résultant du pourcentage de 4,5 % brut leurs frais effectifs d’entretien.</w:t>
      </w:r>
    </w:p>
    <w:p>
      <w:r>
        <w:t>Cette manière de faire revient à appliquer un système hybride, qui ne ressort, s’agissant à tout le moins de l’ICC, ni des dispositions légales et des circulaires applicables, ni de la jurisprudence. Le Tribunal fédéral a en particulier rappelé que si la valeur locative d’un État étranger, connaissant le principe de l’imposition de cette dernière, était conforme aux exigences légales et jurisprudentielles imposées par le droit interne suisse et cantonal (notamment en matière de respect des conditions locales et de limites à respecter par rapport au loyer du marché), il convenait d’admettre en déduction de cette valeur les frais d'entretien effectifs dûment prouvés. Il a toutefois confirmé que lorsque tel n’était pas le cas, le recours à la méthode de calcul forfaitaire prévu par l'information de 1991 était pertinent (arrêt 2C_25/2021 du 7 mai 2021).</w:t>
      </w:r>
    </w:p>
    <w:p>
      <w:r>
        <w:t>En l’occurrence, le cas d’espèce relève bien de cette dernière hypothèse, dès lors qu’il n’est ni allégué ni prouvé que le Royaume-Uni connaissait le principe de l’imposition de la valeur locative d’une manière conforme aux exigences légales et jurisprudentielles imposées par le droit interne fédéral et cantonal. L’information du 1er février 1991 n’a pas été validée par le Tribunal fédéral que dans la mesure où elle concernait la détermination de la valeur locative en fonction de la valeur fiscale, mais bien également sur le fait que le taux de 4,5 % comprenait une déduction forfaitaire de 25 % de la valeur locative brute pour les frais d’entretien (arrêts du Tribunal fédéral 2C_25/2021 précité consid. 4.3 ; 2C_137/2019 précité consid. 6.2 ; 2C_829 et 830/2016 du 10 mai 2017 consid. 7.6).</w:t>
      </w:r>
    </w:p>
    <w:p>
      <w:r>
        <w:t>S’il est vrai que des dispositions légales, et en particulier les art. 32 al. 4 LIFD, 9 al. 3 1ère phr. LHID et art. 34 let. d LIPP, permettent au contribuable de choisir entre une déduction forfaitaire ou une déduction effective des frais relatifs à ses immeubles privés, il convient de relever que ces dispositions visent des déductions des frais immobiliers, dans le cadre de la fixation de l'assiette de l'impôt sur le revenu de biens immobiliers sis en Suisse. Or, dans le cadre de biens sis à l’étranger, pris en compte uniquement pour le taux d’imposition, une méthode de calcul plus schématique a été admise par la jurisprudence.</w:t>
      </w:r>
    </w:p>
    <w:p>
      <w:r>
        <w:t>C’est ainsi à juste titre que l’AFC-GE a refusé d’admettre en déduction des frais effectifs d’entretien de la maison sise en Angleterre.</w:t>
      </w:r>
    </w:p>
    <w:p>
      <w:r>
        <w:t>Mal fondé, le recours sera rejeté. 8)</w:t>
      </w:r>
    </w:p>
    <w:p>
      <w:r>
        <w:t>Vu l’issue du litige, un émolument de CHF 1'500.- sera mis à la charge solidaire des recourants, qui ne peuvent se voir allouer une indemnité de procédure (art. 87 LPA).</w:t>
      </w:r>
    </w:p>
    <w:p>
      <w:r>
        <w:t>- 15/16 - A/4283/2021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