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ATA/1234/2023 vom 14. November 2023</w:t>
      </w:r>
    </w:p>
    <w:p>
      <w:r>
        <w:t>GE Cour de justice, 2023-11-14, FR</w:t>
      </w:r>
    </w:p>
    <w:p>
      <w:r>
        <w:rPr>
          <w:b/>
        </w:rPr>
        <w:t xml:space="preserve">Quelle: </w:t>
      </w:r>
      <w:r>
        <w:t>https://mcp.opencaselaw.ch/entscheid/ge_gerichte_ATA_1234_2023</w:t>
      </w:r>
    </w:p>
    <w:p>
      <w:r>
        <w:t>FR: GE_GERICHTE ATA/1234/2023 du 14 novembre 2023</w:t>
      </w:r>
    </w:p>
    <w:p>
      <w:r>
        <w:t>IT: GE_GERICHTE ATA/1234/2023 del 14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recours porte uniquement sur l’exigibilité du renvoi du recourant. Le recourant ne conteste plus, devant la chambre de céans, que le refus de l’OCIRT de lui octroyer une autorisation de séjour avec activité lucrative est entré en force, de sorte que l’autorité intimée devait prononcer son renvoi. 2.1 Aux termes de l'art. 64 al. 1 let. c LEI, tout étranger dont l'autorisation est refusée, révoquée ou n'est pas prolongée après un séjour autorisé est renvoyé. La décision de renvoi est assortie d'un délai de départ raisonnable (art. 64d al. 1 LEI).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w:t>
      </w:r>
    </w:p>
    <w:p>
      <w:r>
        <w:t>- 6/10 - A/3789/2021 aux engagements de la Suisse relevant du droit international (art. 83 al. 3 LEI).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Dans un arrêt récent, le TAF a relevé qu’il était notoire que, malgré un contexte politique et social relativement instable, le Tchad ne connaissait pas une situation de guerre, de guerre civile ou de violence généralisée qui permettrait d'emblée de présumer, à propos de tous les ressortissants du pays, l'existence d'une mise en danger concrète au sens de l'art. 83 al. 4 LEI (arrêt du TAF E-712/2022 du 29 avril 2022 consid. 8.2). 2.2 En l’espèce, conformément à la jurisprudence précitée, la situation politique actuelle prévalant au Tchad ne suffit pas, à elle seule, à considérer que le recourant encourt une mise en danger concrète en cas de retour au pays. Il convient donc d’examiner si une telle mise en danger peut néanmoins être retenue pour des motifs qui lui seraient propres. Il ressort des documents produits par le recourant, en particulier du rapport du 23 janvier 2023 de Human Rights Watch et du rapport de novembre 2022 de l’Organisation mondiale contre la torture que, depuis le décès de son ancien Président en avril 2021, le Tchad traverse une période de répression accrue contre les opposants au régime et les défenseurs des droits humains. Des manifestations ayant eu lieu dans le pays en octobre 2022 ont été fortement réprimées par les autorités tchadiennes, provoquant plusieurs décès et de nombreux blessés. Human Rights Watch a également documenté des arrestations et détentions arbitraires et déploré l’absence d’enquêtes concernant les violences perpétrées. Or, compte tenu du profil du recourant, on ne peut exclure qu’en cas de retour au Tchad, il soit mis concrètement en danger. Il n’est en effet pas contesté que le recourant est l’auteur d’une thèse sur l’industrie pétrolière et son management au Tchad. Selon le résumé de celle-ci, publiée sur le site internet de l’Université de Neuchâtel, ce travail révèle les rapports inégaux de pouvoir entre les parties et la prédominance des pratiques clientélistes comme mode de gouvernance locale. Le recourant a par ailleurs publié de nombreuses contributions sur des sujets sociaux intéressant le Tchad, soit en particulier la responsabilité sociale des entreprises, l’enjeux des investissements et la question de l’utilisation des ressources</w:t>
      </w:r>
    </w:p>
    <w:p>
      <w:r>
        <w:t>- 7/10 - A/3789/2021 pétrolières. On ne peut ainsi exclure que ses publications soient susceptibles d’attirer sur lui l’attention des autorités tchadiennes. S’ajoute à cela que, le 6 janvier 2022, le recourant a été désigné comme le principal représentant de l’association C______, une organisation non-gouvernementale ayant statut consultatif depuis 2019 auprès du Conseil économique et social des Nations Unies (CESNU), avec siège au Tchad, dont le but est de prévenir et de répondre aux différentes crises que traversent les communautés à travers les pays d’intervention, dans une dynamique d’aide aux vulnérables. En sa qualité de défenseur des droits humains, le recourant a, par ailleurs, participé à une manifestation qui a eu lieu à Genève pour dénoncer la répression du régime tchadien, étant précisé que sa présence à la manifestation a été relayée sur les réseaux sociaux. Ces éléments suscitent ainsi la question de savoir si, compte tenu de ses publications et activités en faveur de la défense des droits de l’homme, le recourant pourrait être exposé à un traitement s’apparentant à un sérieux préjudice. Sa mise en danger concrète a d’ailleurs été relevée le 1er avril 2023 par un représentant de l’association à but non lucratif, Droits de l’homme sans frontières. Dans la mesure où cette question relève de l'admission provisoire, soit de la compétence du SEM, la chambre de céans renverra le dossier à l'OCPM afin qu'il le soumette à cette autorité pour qu'elle examine si les conditions d'une admission provisoire sont remplies. En conclusion, le recours sera admis et la cause renvoyée à l’OCPM, qui sera chargé de soumettre le dossier pour examen au SEM. 2.3 Vu l'issue du litige, il ne sera perçu d’émolument. Il ne sera pas alloué d’indemnité de procédure, le recourant n’étant pas représenté et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