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ATA/122/2018 vom 6. Februar 2018</w:t>
      </w:r>
    </w:p>
    <w:p>
      <w:r>
        <w:t>GE Cour de justice, 2018-02-06, FR</w:t>
      </w:r>
    </w:p>
    <w:p>
      <w:r>
        <w:rPr>
          <w:b/>
        </w:rPr>
        <w:t xml:space="preserve">Quelle: </w:t>
      </w:r>
      <w:r>
        <w:t>https://mcp.opencaselaw.ch/entscheid/ge_gerichte_ATA_122_2018</w:t>
      </w:r>
    </w:p>
    <w:p>
      <w:r>
        <w:t>FR: GE_GERICHTE ATA/122/2018 du 6 février 2018</w:t>
      </w:r>
    </w:p>
    <w:p>
      <w:r>
        <w:t>IT: GE_GERICHTE ATA/122/2018 del 6 febbraio 2018</w:t>
      </w:r>
    </w:p>
    <w:p>
      <w:pPr>
        <w:pStyle w:val="Heading2"/>
      </w:pPr>
      <w:r>
        <w:t>Regeste</w:t>
      </w:r>
    </w:p>
    <w:p>
      <w:r>
        <w:t>Résumé: Demande en interprétation d'un arrêt de la chambre administrative irrecevable, au motif que le dispositif de l'arrêt en cause est sans équivoque.</w:t>
      </w:r>
    </w:p>
    <w:p>
      <w:pPr>
        <w:pStyle w:val="Heading2"/>
      </w:pPr>
      <w:r>
        <w:t>Erwägungen</w:t>
      </w:r>
    </w:p>
    <w:p>
      <w:r>
        <w:rPr>
          <w:b/>
        </w:rPr>
        <w:t>E. 21</w:t>
      </w:r>
    </w:p>
    <w:p>
      <w:r>
        <w:t>juin 2011 consid. 4). 3)</w:t>
      </w:r>
    </w:p>
    <w:p>
      <w:r>
        <w:t>Dans le cas particulier, le dispositif de l’arrêt en cause est sans équivoque. Il annule la décision querellée et renvoie la cause au PCTN pour nouvelle décision, au sens des considérants. Ces derniers exposent que la décision attaquée était viciée dès lors que le préavis de la commission de discipline préalable à la sanction contestée n’avait pas été valablement recueilli et que l’instruction des faits reprochés était insuffisante.</w:t>
      </w:r>
    </w:p>
    <w:p>
      <w:r>
        <w:t>Par ailleurs, le dispositif en question ne contient aucune contradiction ni obscurité en regard des considérants. Ce que souhaite en réalité le PCTN, c’est à ce que la chambre de céans trace l’articulation éventuelle entre la LTaxis, sous l’empire de laquelle les faits reprochés se sont déroulés, et la loi sur les taxis et les voitures de transport avec chauffeur du 13 octobre 2016 (LTVTC - H 1 31) qui lui a succédé le 1er juillet 2017.</w:t>
      </w:r>
    </w:p>
    <w:p>
      <w:r>
        <w:t>Cela ne relève pas de l’interprétation mais du conseil juridique, et dépasse tant le cadre de l’art. 84 al. 1 LPA que le rôle d’une juridiction de recours.</w:t>
      </w:r>
    </w:p>
    <w:p>
      <w:r>
        <w:t>- 4/5 - A/4581/2017</w:t>
      </w:r>
    </w:p>
    <w:p>
      <w:r>
        <w:t>Dans ces circonstances, la demande d’interprétation sera déclarée irrecevable. 4)</w:t>
      </w:r>
    </w:p>
    <w:p>
      <w:r>
        <w:t>Aucun émolument ne sera perçu (art. 87 al. 1 LPA). Une indemnité de procédure de CHF 500.- sera allouée solidairement aux intimés, qui y ont expressément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