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ATA/1227/2015 vom 12. November 2015</w:t>
      </w:r>
    </w:p>
    <w:p>
      <w:r>
        <w:t>GE Cour de justice, 2015-11-12, FR</w:t>
      </w:r>
    </w:p>
    <w:p>
      <w:r>
        <w:rPr>
          <w:b/>
        </w:rPr>
        <w:t xml:space="preserve">Quelle: </w:t>
      </w:r>
      <w:r>
        <w:t>https://mcp.opencaselaw.ch/entscheid/ge_gerichte_ATA_1227_2015</w:t>
      </w:r>
    </w:p>
    <w:p>
      <w:r>
        <w:t>FR: GE_GERICHTE ATA/1227/2015 du 12 novembre 2015</w:t>
      </w:r>
    </w:p>
    <w:p>
      <w:r>
        <w:t>IT: GE_GERICHTE ATA/1227/2015 del 12 novembre 2015</w:t>
      </w:r>
    </w:p>
    <w:p>
      <w:pPr>
        <w:pStyle w:val="Heading2"/>
      </w:pPr>
      <w:r>
        <w:t>Erwägungen</w:t>
      </w:r>
    </w:p>
    <w:p>
      <w:r>
        <w:rPr>
          <w:b/>
        </w:rPr>
        <w:t>E. 4</w:t>
      </w:r>
    </w:p>
    <w:p>
      <w:r>
        <w:t>juin 2009 consid. 3 ; 1C_76/2009 du 30 avril 2009 consid. 2 ; 6B_34/2009 du 20 avril 2009 consid. 1.3 ; Hansjörg SEILER, Handkommentar zum Bundesgerichtsgesetz [BGG], 2007, n. 33 ad art. 89 LTF ; Karl</w:t>
      </w:r>
    </w:p>
    <w:p>
      <w:r>
        <w:t>- 9/13 - A/3699/2015 SPUHLER/Annette DOLGE/Dominik VOCK, Kurzkommentar zum Bundesgerichtsgesetz [BGG], 2006, n. 5 ad art. 89 LTF).</w:t>
      </w:r>
    </w:p>
    <w:p>
      <w:r>
        <w:t>La condition de l’intérêt actuel fait défaut en particulier lorsque, notamment, la décision attaquée a été exécutée et a sorti tous ses effets (ATF 125 I 394 consid. 4 ; 120 Ia 165 consid. 1a et les références citées ; ATA/193/2013 du 26 mars 2013 ; ATA/727/2012 du 30 octobre 2012).</w:t>
      </w:r>
    </w:p>
    <w:p>
      <w:r>
        <w:t>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139 I 206 consid. 1.1 p. 208 ; 136 II 101 consid. 1.1 p. 103 ; 135 I 79 consid. 1.1 p. 81 ; arrêts du Tribunal fédéral 1C_477/2012 du 27 mars 2013 consid. 2.3; 1C_9/2012 du 7 mai 2012 consid. 1.2 ; ATA/236/2014 du 8 avril 2014 ; ATA/716/2013 du 29 octobre 2013 ; ATA/253/2013 du 23 avril 2013 ; Jacques DUBEY/Jean-Baptiste ZUFFEREY, op. cit., p. 734, n. 2086 ; François BELLANGER, La qualité pour recourir in Le contentieux administratif, 2013, p. 121) ou lorsqu’une décision n’est pas susceptible de se renouveler mais que les intérêts des recourants sont particulièrement touchés avec des effets qui vont perdurer (ATF 136 II 101 ; 135 I 79 ; ATAF 2009/9 du 22 décembre 2008).</w:t>
      </w:r>
    </w:p>
    <w:p>
      <w:r>
        <w:t>En matière de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 ATA/156/2013 du 7 mars 2013).</w:t>
      </w:r>
    </w:p>
    <w:p>
      <w:r>
        <w:t>b. Tel est le cas en l’espèce, dès lors que l’officier de police a conclu à l’annulation du jugement du TAPI alors que l’intimé a déjà été mis en liberté et qu’un nouvel ordre de mise en détention sera prononcé s’il devait être à nouveau nécessaire de faire appel à une privation de liberté à des fins administratives. Dans ces conditions, il convient de déclarer le recours recevable, en faisant abstraction de l’exigence de l’intérêt actuel, et de trancher le litige cas échéant par une décision constatatoire (dans ce sens, ATA/671/2015 du 23 juin 2015 consid. 4).</w:t>
      </w:r>
    </w:p>
    <w:p>
      <w:r>
        <w:t>Le recours formé par l'officier de police sera en conséquence déclaré recevable. 4)</w:t>
      </w:r>
    </w:p>
    <w:p>
      <w:r>
        <w:t>La détention administrative porte une atteinte grave à la liberté personnelle et ne peut être ordonnée que dans le respect de l'art. 5 de la Convention de</w:t>
      </w:r>
    </w:p>
    <w:p>
      <w:r>
        <w:t>- 10/13 - A/3699/2015 sauvegarde des droits de l’homme et des libertés fondamentales du 4 novembre 1950 (CEDH - RS 0.101)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 5) 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w:t>
      </w:r>
    </w:p>
    <w:p>
      <w:r>
        <w:t>b. Ces chiffres 3 et 4 décrivent tous deux les comportements permettant de conclure à l'existence d'un risque de fuite ou de disparition ; ils doivent donc être envisagés ensemble (arrêt du Tribunal fédéral 2C_128/2009 du 30 mars 2009 consid. 3.1).</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w:t>
      </w:r>
    </w:p>
    <w:p>
      <w:r>
        <w:t>- 11/13 - A/3699/2015 d’appréciation (arrêts du Tribunal fédéral 2C_935/2011 du 7 décembre 2011 consid. 3.3 ; 2C_128/2009 du 30 mars 2009 consid. 3.1). 6) a. En l’espèce, une volonté de l’intimé de ne pas se soumettre à son obligation de quitter la Suisse ressort du dossier, comme l’attestent notamment ses déclarations constantes de refus de retourner au Kosovo ainsi que son refus de demander une aide au retour malgré son acceptation du 26 septembre 2014.</w:t>
      </w:r>
    </w:p>
    <w:p>
      <w:r>
        <w:t>Par ailleurs, la problématique médicale globale invoquée par l’intimé pour s’opposer actuellement à son renvoi, telle qu’elle peut ressortir des différents documents médicaux à disposition de la chambre de céans, a, indépendamment d’une éventuelle évolution depuis lors, déjà été examinée de manière approfondie par le SEM et le TAF dans le cadre des trois procédures de reconsidération.</w:t>
      </w:r>
    </w:p>
    <w:p>
      <w:r>
        <w:t>Enfin, contrairement à ce que semble penser le TAPI, la fixation d’un nouveau délai de départ par l’OCPM à la suite de l’arrêt du TAF du 1er septembre 2014, ne paraît pas nécessaire, le caractère licite et exigible de l’exécution de son renvoi n’étant pas remis en question par les autorités fédérales compétentes et le SEM ayant indiqué dans le dispositif de sa décision du 13 février 2014 que sa décision du 4 juin 2010 était entrée en force et exécutoire.</w:t>
      </w:r>
    </w:p>
    <w:p>
      <w:r>
        <w:t>b. En revanche, on peut douter que les conditions d’application de l’art. 76 al. 1 let. b ch. 3 et 4 LEtr soient, comme le soutient le recourant, remplies, dans la mesure où, malgré l’inscription au RIPOL, il n’est en l’état pas démontré par des faits ou indices concrets que l’intimé était inatteignable par les autorités ou qu’il aurait refusé de se rendre à des convocations, et donc qu’il existe un risque de fuite au sens de cette disposition légale. Quoi qu’il en soit, cette question peut souffrir de demeurer indécise.</w:t>
      </w:r>
    </w:p>
    <w:p>
      <w:r>
        <w:t>En effet, l’art. 76 al. 4 LEtr prescrit que les démarches nécessaires à l'exécution du renvoi ou de l'expulsion doivent être entreprises sans tarder.</w:t>
      </w:r>
    </w:p>
    <w:p>
      <w:r>
        <w:t>Or, de l’aveu même de l’officier de police, avant d'organiser le départ ou le renvoi, le SEM a demandé à ce que le rapport d'Oseara SA soit actualisé ; les démarches sont en cours ; toutefois, sans un tel rapport, il n'est pas possible de réserver une place sur un vol. On ignore quand Oseara SA rendra son rapport. Dans ces circonstances, vu les doutes du SEM sur la question de savoir si l’intéressé est médicalement apte au transport, un renvoi forcé n’est pour l’instant pas réalisable, indépendamment du refus de celui-ci de quitter la Suisse.</w:t>
      </w:r>
    </w:p>
    <w:p>
      <w:r>
        <w:t>C’est donc en vain que l’officier de police soutient que le renvoi au Kosovo de l’intimé est parfaitement possible et réalisable dans un délai prévisible, au motif que son aptitude au vol, déjà constatée, serait d’autant plus certainement à nouveau prochainement confirmée que l’intéressé n’aurait, lors de son audition du 26 octobre 2015 par le TAPI, ni évoqué, ni même rendu vraisemblable une</w:t>
      </w:r>
    </w:p>
    <w:p>
      <w:r>
        <w:t>- 12/13 - A/3699/2015 aggravation de son état de santé, lequel évoluerait en fonction des différentes phases de la procédure.</w:t>
      </w:r>
    </w:p>
    <w:p>
      <w:r>
        <w:t>Partant, la détention administrative litigieuse, en tant qu’elle est fondée sur l’art. 76 al. 1 let. ch. 3 et 4 LEtr, n’est en tout état de cause pas proportionnée.</w:t>
      </w:r>
    </w:p>
    <w:p>
      <w:r>
        <w:t>c. Une détention pour insoumission par éventuelle substitution de motifs en application de l’art. 78 LEtr, subsidiaire à la détention en vue du renvoi ou de l’expulsion de l’art. 76 LEtr, apparaît en tout état de cause actuellement aussi exclue, étant donné que le SEM fait examiner à nouveau par Oseara SA si l’intimé est apte ou non d’un point de vue médical au transport en vue de son retour au Kosovo.</w:t>
      </w:r>
    </w:p>
    <w:p>
      <w:r>
        <w:t>d. Vu ce qui précède, le jugement du TAPI querellé – qui a renvoyé la cause au recourant pour le prononcé d’une mesure moins incisive – est conforme au droit, de sorte que le recours sera rejeté. 7)</w:t>
      </w:r>
    </w:p>
    <w:p>
      <w:r>
        <w:t>L’officier de police, en sa qualité d’autorité administrative, ne peut se voir imposer le versement d’un émolument (art. 87 al. 1 2ème phr. LPA). Une indemnité de procédure de CHF 1'000.- sera allouée à l’intimé, qui obtient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