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ATA/1225/2019 vom 13. August 2019</w:t>
      </w:r>
    </w:p>
    <w:p>
      <w:r>
        <w:t>GE Cour de justice, 2019-08-13, FR</w:t>
      </w:r>
    </w:p>
    <w:p>
      <w:r>
        <w:rPr>
          <w:b/>
        </w:rPr>
        <w:t xml:space="preserve">Quelle: </w:t>
      </w:r>
      <w:r>
        <w:t>https://mcp.opencaselaw.ch/entscheid/ge_gerichte_ATA_1225_2019</w:t>
      </w:r>
    </w:p>
    <w:p>
      <w:r>
        <w:t>FR: GE_GERICHTE ATA/1225/2019 du 13 août 2019</w:t>
      </w:r>
    </w:p>
    <w:p>
      <w:r>
        <w:t>IT: GE_GERICHTE ATA/1225/2019 del 13 agosto 2019</w:t>
      </w:r>
    </w:p>
    <w:p>
      <w:pPr>
        <w:pStyle w:val="Heading2"/>
      </w:pPr>
      <w:r>
        <w:t>Erwägungen</w:t>
      </w:r>
    </w:p>
    <w:p>
      <w:r>
        <w:rPr>
          <w:b/>
        </w:rPr>
        <w:t>E. 29</w:t>
      </w:r>
    </w:p>
    <w:p>
      <w:r>
        <w:t>avril 2019 par la directrice de l'ECCG n'est pas une décision incidente. Elle précisait explicitement que la libération de l'obligation de travailler existait jusqu'à ce que le recourant ait pu être entendu et que l'autorité compétente ait pu prendre une décision sujette à recours.</w:t>
      </w:r>
    </w:p>
    <w:p>
      <w:r>
        <w:t>Pour le recourant, il s'agit d'une décision attaquable au sens de l’art. 4 LPA. 3)</w:t>
      </w:r>
    </w:p>
    <w:p>
      <w:r>
        <w:t>Conformément à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 sont également considérées comme décisions les décisions incidentes, les décisions sur réclamation ou recours, les décisions prises en matière de révision et d’interprétation (al. 2).</w:t>
      </w:r>
    </w:p>
    <w:p>
      <w:r>
        <w:t>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 l’acte interne peut avoir des effets juridiques, mais ce n’en est pas l’objet et c’est pourquoi il n’est en règle générale pas susceptible de recours. Deux critères permettent généralement de déterminer si l’on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w:t>
      </w:r>
    </w:p>
    <w:p>
      <w:r>
        <w:t>- 4/6 - A/1830/2019 au service, telles que la définition du cahier des charges ou des instructions relatives à la manière de trancher une affaire, est un acte interne (ATF 136 I 323 consid. 4.5 ; arrêts du Tribunal fédéral 8D_5/2017 du 20 août 2018 consid. 7.1 ; 8D_1/2016 du 23 janvier 2017 consid. 5.1 confirmant l’ATA/69/2016 du 26 janvier 2016, et les références citées ; ATA/889/2018 du 4 septembre 2018 et les références citées ; Stéphane GRODECKI, commentaire de l’arrêt du Tribunal fédéral 8D_1/2016 précité, in RDAF 2017 I 609).</w:t>
      </w:r>
    </w:p>
    <w:p>
      <w:r>
        <w:t>Le Tribunal fédéral ne considère pas que la libération de l'obligation de travailler est une mesure de gestion ou de nature purement organisationnelle ou de service, mais simplement qu'elle est de nature non pécuniaire comme les mesures de nature purement organisationnelles ou de service (arrêt du Tribunal fédéral 8C_166/2011 du 13 juillet 2011 consid. 2.3.1.1). 4)</w:t>
      </w:r>
    </w:p>
    <w:p>
      <w:r>
        <w:t>En vertu de l'art. 28 LPAC (suspension provisoire pour enquête), dans l'attente du résultat d'une enquête administrative ou d'une information pénale, le Conseil d'État, la commission de gestion du pouvoir judiciaire ou le conseil d'administration peut, de son propre chef ou à la demande de l'intéressé, suspendre provisoirement un membre du personnel auquel il est reproché une faute de nature à compromettre la confiance ou l'autorité qu'implique l'exercice de sa fonction ; au sein de l'établissement, le président du conseil d'administration peut procéder, à titre provisionnel et sans délai, à la suspension de l'intéressé (al. 1) ; cette décision est notifiée par lettre motivée (al. 2). 5)</w:t>
      </w:r>
    </w:p>
    <w:p>
      <w:r>
        <w:t>Dans deux arrêts (ATA/97/2014 du 18 février 2014 ; ATA/846/2014 du 28 octobre 2014), dont le premier concernait un directeur d’établissement scolaire genevois, la chambre administrative a considéré que la libération de l’obligation de travailler, comme la suspension provisoire, était susceptible d'affecter la situation juridique du fonctionnaire en tant que titulaire de droits et d'obligations à l'égard de l'État (ATF 136 I 323 consid. 4.5), à l'instar d'une privation de toute direction d'un dicastère prise à l'encontre d'un élu communal par ses collègues (arrêt du Tribunal cantonal neuchâtelois CDP.2013.269 du 25 novembre 2013). La mesure litigieuse touchait non seulement l'obligation de travailler du recourant, mais aussi sa présence dans son bureau et ses relations avec le personnel, de sorte que cette mesure devait être considérée comme une décision, au même titre que la suspension provisoire visée par l’art. 28 LPAC.</w:t>
      </w:r>
    </w:p>
    <w:p>
      <w:r>
        <w:t>En l’espèce, compte tenu de la jurisprudence précitée, le courrier du 29 avril 2019 signifiant au recourant la libération de son obligation de travailler est une décision. 6)</w:t>
      </w:r>
    </w:p>
    <w:p>
      <w:r>
        <w:t>Dans les arrêts précités, la chambre administrative avait tranché que l’autorité compétente pour prononcer la libération de l’obligation de travailler était la même que celle compétente pour décider d’une suspension provisoire au sens de l’art. 28 LPAC, en l’occurrence le Conseil d’État.</w:t>
      </w:r>
    </w:p>
    <w:p>
      <w:r>
        <w:t>- 5/6 - A/1830/2019</w:t>
      </w:r>
    </w:p>
    <w:p>
      <w:r>
        <w:t>En l'espèce, la décision du 29 avril 2019 a été prise par la directrice de l'ECCG, à savoir une autorité incompétente.</w:t>
      </w:r>
    </w:p>
    <w:p>
      <w:r>
        <w:t>Toutefois, la chambre administrative constate que le Conseil d'État, autorité compétente en la matière, a, par arrêté du 17 juillet 2019, pris une nouvelle décision et libéré le recourant de son obligation de travailler dans son établissement d'affectation à compter du 1er mai 2019.</w:t>
      </w:r>
    </w:p>
    <w:p>
      <w:r>
        <w:t>Dès la prise de ladite décision le 17 juillet 2019, le présent recours est dépourvu d’intérêt actuel. Il est ainsi devenu sans objet, ce qu’il conviendra de constater. La cause sera, par conséquent, rayée du rôle. 7)</w:t>
      </w:r>
    </w:p>
    <w:p>
      <w:r>
        <w:t>Selon l’art. 87 al. 1 1ère phr. de la loi sur la procédure administrative du 12 septembre 1985 (LPA - E 5 10), la juridiction administrative qui rend la décision statue sur les frais de procédure et émoluments.</w:t>
      </w:r>
    </w:p>
    <w:p>
      <w:r>
        <w:t>En vertu de l’art. 87 al. 2 LPA, la juridiction administrative – qui statue sur les frais de procédure, indemnités et émoluments dans les limites établies par règlement du Conseil d’État et conformément au principe de la proportionnalité (art. 87 al. 1 et 3 LPA ; ATA/1484/2017 du 14 novembre 2017 et les références citées) – peut, sur requête, allouer à la partie ayant entièrement ou partiellement gain de cause, une indemnité pour les frais indispensables causés par le recours.</w:t>
      </w:r>
    </w:p>
    <w:p>
      <w:r>
        <w:t>En l'espèce, il sera alloué au recourant une indemnité de procédure de CHF 500.-, son recours n’ayant pas été dépourvu de fondement, et il ne sera pas perçu d'émolument.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