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ATA/1222/2015 vom 10. November 2015</w:t>
      </w:r>
    </w:p>
    <w:p>
      <w:r>
        <w:t>GE Cour de justice, 2015-11-10, FR</w:t>
      </w:r>
    </w:p>
    <w:p>
      <w:r>
        <w:rPr>
          <w:b/>
        </w:rPr>
        <w:t xml:space="preserve">Quelle: </w:t>
      </w:r>
      <w:r>
        <w:t>https://mcp.opencaselaw.ch/entscheid/ge_gerichte_ATA_1222_2015</w:t>
      </w:r>
    </w:p>
    <w:p>
      <w:r>
        <w:t>FR: GE_GERICHTE ATA/1222/2015 du 10 novembre 2015</w:t>
      </w:r>
    </w:p>
    <w:p>
      <w:r>
        <w:t>IT: GE_GERICHTE ATA/1222/2015 del 10 novembre 2015</w:t>
      </w:r>
    </w:p>
    <w:p>
      <w:pPr>
        <w:pStyle w:val="Heading2"/>
      </w:pPr>
      <w:r>
        <w:t>Regeste</w:t>
      </w:r>
    </w:p>
    <w:p>
      <w:r>
        <w:t>Résumé: Motif de rappel d'impôt nié dans le cas d'un contribuable qui a mentionné dans ses déclarations d'impôt successives l'existence d'un prêt accordé par la société de laquelle il était simultanément actionnaire, administrateur et salarié unique, l'autorité fiscale ne lui ayant, au moment d'établir les taxations ordinaires, jamais demandé de fournir de renseignements complémentaires au sujet de cette situation, malgré la présence d'indices laissant présager l'existence d'un prêt simulé.</w:t>
      </w:r>
    </w:p>
    <w:p>
      <w:pPr>
        <w:pStyle w:val="Heading2"/>
      </w:pPr>
      <w:r>
        <w:t>Erwägungen</w:t>
      </w:r>
    </w:p>
    <w:p>
      <w:r>
        <w:rPr>
          <w:b/>
        </w:rPr>
        <w:t>E. 12</w:t>
      </w:r>
    </w:p>
    <w:p>
      <w:r>
        <w:t>septembre 1985 - LPA - E 5 10 ; art. 7 al. 2 de la loi de procédure fiscale du 4 octobre 2001 - LPFisc - D 3 17). 2) a. Le litige fiscal concernant en partie une période antérieure au 1er janvier 2010, se pose la question du droit applicable. La loi fédérale sur l’impôt fédéral direct du 14 décembre 1990 (LIFD - RS 642.11)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ATA/1017/2015, ATA/1018/2015 et ATA/1019/2015 du 29 septembre 2015 ; ATA/234/2015 du 3 mars 2015 ; ATA/112/2015 du 27 janvier 2015 ; ATA/232/2014 du 8 avril 2014 ;</w:t>
      </w:r>
    </w:p>
    <w:p>
      <w:r>
        <w:t>- 11/20 - A/4030/2013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ATA/1017/2015, ATA/1018/2015 et ATA/1019/2015 précités ; ATA/369/2015 du 21 avril 2015 ; ATA/307/2014 du 29 avril 2014).</w:t>
      </w:r>
    </w:p>
    <w:p>
      <w:r>
        <w:t>b. Le présent litige porte sur la procédure en rappel et en soustraction d’impôt ouverte en 2013, qui concerne les périodes fiscales 2009 et 2010. La cause est ainsi régie par le droit en vigueur durant chacune de ces périodes, à savoir les dispositions de la LIFD, de l’ancien droit cantonal en 2009 et du nouveau droit cantonal en 2010, sous réserve de l’amende, pour laquelle le principe de la lex mitior s’applique le cas échéant. 3)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w:t>
      </w:r>
    </w:p>
    <w:p>
      <w:r>
        <w:t>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dépendante, notamment les certificats</w:t>
      </w:r>
    </w:p>
    <w:p>
      <w:r>
        <w:t>- 12/20 - A/4030/2013 de salaire et l’état des titres et des créances, ainsi que celui des dettes (art. 125 al. 1 LIFD ; art. 29 al. 1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S’il n’est en principe pas exigé de l’autorité fiscale qu’elle confronte systématiquement les déclarations remplies par les sociétés, traitées par un service, à celles remplies par un contribuable, personne physique, examinées par un autre de ses services (ATA/809/2015 du 11 août 2015 ; ATA/724/2015 du</w:t>
      </w:r>
    </w:p>
    <w:p>
      <w:r>
        <w:rPr>
          <w:b/>
        </w:rPr>
        <w:t>E. 14</w:t>
      </w:r>
    </w:p>
    <w:p>
      <w:r>
        <w:t>juillet 2015 ; ATA/369/2015 précité ; ATA/517/2014 du 1er juillet 2014), il n’en demeure pas moins que cette question doit être examinée en fonction des circonstances du cas concret (Hugo CASANOVA, op. cit., p. 11 s).</w:t>
      </w:r>
    </w:p>
    <w:p>
      <w:r>
        <w:t>Dans la mesure où le contribuable déclare de manière complète, sur un plan quantitatif, les éléments imposables et que leur évaluation a été acceptée sans changement lors de la taxation, une procédure en rappel d’impôt n’est plus</w:t>
      </w:r>
    </w:p>
    <w:p>
      <w:r>
        <w:t>- 13/20 - A/4030/2013 possible, même si l’évaluation était insuffisante (AFC-CH,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4)</w:t>
      </w:r>
    </w:p>
    <w:p>
      <w:r>
        <w:t>La casuistique en matière de rappel d’impôt est abondante.</w:t>
      </w:r>
    </w:p>
    <w:p>
      <w:r>
        <w:t>a. Les conditions du rappel d’impôt ont été considérées comme remplies dans le cas de contribuables pour lesquels de nombreux frais à caractère privé avaient été passés en charge de l’activité commerciale, réduisant de la sorte le revenu imposable (arrêt du Tribunal fédéral 2C_132/2010 du 10 février 2010 confirmant l’ATA/657/2009 du 15 décembre 2009), de même que dans celui dans lequel un appartement avait été comptabilisé comme servant à l’activité professionnelle alors qu’il était utilisé comme logement et qu’un contrôle fiscal opéré dans la comptabilité d’une société, dont le contribuable était l’administrateur et l’actionnaire, avait mis en évidence une différence entre le total des sommes perçues et les montants comptabilisés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 contribuables qui avaient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qui ne découlait pas de manière évidente de l’état des participations et des prêts déposés par la contribuable, justifiait également un rappel d’impôt, même si l’autorité fiscale pouvait soupçonner l’existence d’une telle simulation (arrêt du Tribunal fédéral 2C_533/2008 du 7 août 2009).</w:t>
      </w:r>
    </w:p>
    <w:p>
      <w:r>
        <w:t>b. À l’inverse, la réalisation des conditions du rappel d’impôt a été niée dans le cas du contribuable qui avait déclaré sa participation déterminante assortie d’un revenu inexistant dans une société dont la valeur fiscale avait été considérée comme nulle par l’autorité de taxation. Bien qu’ayant procédé à la réévaluation de la valeur fiscale de la société, cette dernière n’avait entrepris aucune investigation complémentaire en relation avec le revenu de l’intéressé, situation à laquelle elle ne pouvait remédier au moyen du rappel d’impôt (arrêt du Tribunal fédéral 2A.706/2006 du 1er mars 2007). Il en est allé de même du contribuable ayant</w:t>
      </w:r>
    </w:p>
    <w:p>
      <w:r>
        <w:t>- 14/20 - A/4030/2013 appliqué pendant des années une méthode erronée d’estimation pour la location de biens immobiliers avec l’aval, à tout le moins implicite, de l’autorité fiscale (ATA/307/2014 précité). Une affaire dans laquelle la contribuable retraitée avait,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contribuable qui avait bénéficié, sans les déclarer, d’avis de crédit importants sur un investissement et, après avoir déclaré celui-ci sans indiquer de rendement, avait déclaré l’année suivante le même investissement pour un montant symbolique en ajoutant qu’il était probablement perdu, l’administrateur de fortune étant en détention préventive. Dans ces circonstances, l’autorité fiscale ne pouvait se fonder sur les seules indications du contribuable sans procéder à des recherches complémentaires (arrêt du Tribunal fédéral 2C_94/2010 du 10 février 2011). 5) a. L’impôt sur le revenu a pour objet tous les revenus du contribuable, qu’ils soient uniques ou périodiques (art. 16 al. 1 LIFD ; art. 17 LIPP ; art. 2 de la loi sur l’imposition des personnes physiques, impôt sur le revenu du 22 septembre 2000 - aLIPP-IV - D 3 14). Ces dispositions consacrent la théorie de l’accroissement du patrimoine, selon laquelle tous les revenus sont soumis à l’impôt, quelle qu’en soit la nature et la forme, qu’ils aient pour conséquence une augmentation des actifs ou une diminution des passifs (ATF 139 II 363 consid. 2.1 ; arrêts du Tribunal fédéral 2C_585/2014 et 2C_586/2014 du 13 février 2015 consid. 6.2 ; ATA/724/2015 précité ; ATA/342/2015 du 14 avril 2015 ; ATA/682/2014 du 26 août 2014).</w:t>
      </w:r>
    </w:p>
    <w:p>
      <w:r>
        <w:t>b. Selon les art. 20 al. 1 let. c LIFD, 22 al. 1 let. c LIPP et 6 let. c aLIPP-IV, est imposable le rendement de la fortune mobilière, en particulier les dividendes, les parts de bénéfice, les excédents de liquidation et tous autres avantages appréciables en argent provenant de participations en tout genre.</w:t>
      </w:r>
    </w:p>
    <w:p>
      <w:r>
        <w:t>c. Font partie des avantages appréciables en argent au sens de ces dispositions les distributions dissimulées de bénéfice (art. 58 al. 1 let. b LIFD ; art. 12 let. h de la loi sur l’imposition des personnes morales du 23 septembre 1994 - LIPM - D 3 15),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w:t>
      </w:r>
    </w:p>
    <w:p>
      <w:r>
        <w:t>- 15/20 - A/4030/2013</w:t>
      </w:r>
    </w:p>
    <w:p>
      <w:r>
        <w:t>d.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2C_605/2014 et 2C_606/2014 précités consid. 6 ; 2C_1082/2013 du 14 janvier 2015 consid. 4.2 ; 2C_589/2013 et 2C_590/2013 du 17 janvier 2014 consid. 7.2).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138 II 57 consid. 2.2 ; arrêts du Tribunal fédéral 2C_605/2014 et 2C_606/2014 précités consid. 6 ; 2C_927/2013 et 2C_928/2013 du 21 mai 2014 consid. 5.1).</w:t>
      </w:r>
    </w:p>
    <w:p>
      <w:r>
        <w:t>e. Le prêt qu’une société de capitaux accorde à son actionnaire ou à un proche constitue une prestation appréciable en argent, qui doit être ajoutée au revenu de son bénéficiaire, conformément aux dispositions précitées, si l’opération s’écarte des conditions qui prévaudraient entre tiers (ATF 138 II 57 consid. 3.1 ; arrêts du Tribunal fédéral 2C_927/2013 et 2C_928/2013 précités consid. 5.2 ; 2C_533/2009 du 7 août 2009 consid. 3.1 ; 2A.79/2002 du 27 janvier 2003 consid. 2.2). Pour en juger, toutes les circonstances du cas d’espèce doivent être prises en compte, la jurisprudence ayant développé un certain nombre de critères en la matière. Tel est notamment le cas du prêt octroyé par la société qui n’est pas couvert par le but social ou s’avère inhabituel dans la structure globale du bilan, en particulier lorsqu’il apparaît excessivement élevé en comparaison avec les autres actifs, de sorte à représenter un risque important pour elle et, ainsi, paraître insolite en comparaison avec des tiers, en particulier s’il représente le seul actif notable de la société ou dépasse le capital propre existant. La situation financière du débiteur doit également être examinée, ce d’autant lorsqu’elle est délicate et que l’intéressé n’est pas en mesure d’exécuter dans la durée et par ses propres moyens les obligations découlant du prêt, soit le paiement des intérêts et de l’amortissement, ou que le prêt a permis à son bénéficiaire de financer dans une large mesure son train de vie ou de rembourser des dettes privées (ATF 138 II 57 consid. 5.1.2 et 5.1.3).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(ATF 138 II 57 consid. 3.2). Ce dernier élément n’est toutefois pas à lui seul déterminant, puisqu’il peut reposer sur d’autres raisons qu’une intention de simulation. L’est en</w:t>
      </w:r>
    </w:p>
    <w:p>
      <w:r>
        <w:t>- 16/20 - A/4030/2013 revanche le fait que le prêt ne figure au bilan ni de la créancière, ni du débiteur et que l’emprunteur ne revendique aucune déduction d’intérêts passifs auprès des autorités fiscales, une telle manière de procéder pouvant signifier que les intéressés eux-mêmes partent de la non-existence comptable de l’emprunt (arrêts du Tribunal fédéral 2C_927/2013 et 2C_928/2013 précités consid. 5.3). Au surplus, lorsqu’une société accorde un prêt à son actionnaire, ce contrat ne respecte pas le principe de pleine concurrence si le taux d’intérêts appliqué est inférieur au taux du marché, fixé à tout le moins à 2,5 % en 2009 et 2,25 % en 2010 aux termes des lettres circulaires de l’AFC-CH relatives aux taux d’intérêts déterminants pour le calcul des prestations appréciables en argent, ou s’il est accordé sans intérêts (ATF 140 II 88 consid. 5).</w:t>
      </w:r>
    </w:p>
    <w:p>
      <w:r>
        <w:t>f.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2C_589/2013 et 2C_590/2013 précités consid. 7.2 ; 2C_76/2009 du 23 juillet 2009 consid. 2.2 ; ATA/1104/2015 du 13 octobre 2015 ; ATA/780/2013 du 26 novembre 2013). 6) a. En l’espèce, l’autorité recourante reproche au TAPI de ne pas avoir admis l’existence d’un motif de rappel d’impôt, alléguant n’avoir découvert qu’après l’entrée en force des taxations 2009 et 2010 que les déclarations de M. A______ étaient incomplètes, situation ayant engendré une perte fiscale pour la collectivité. Elle se fonde en particulier sur les bordereaux de taxations 2009 et 2010 de la société, notifiés respectivement les 14 juin et 4 octobre 2012 par le service des personnes morales, lequel a considéré que le prêt consenti à M. A______ était simulé et, dès lors, constitutif d’une prestation appréciable en argent et d’une distribution dissimulée de bénéfice, élément qui n’avait pas été porté à sa connaissance lors de la taxation ordinaire de l’intéressé.</w:t>
      </w:r>
    </w:p>
    <w:p>
      <w:r>
        <w:t>b. Il ressort de ses déclarations fiscales que M. A______ a mentionné un revenu tiré de son activité auprès de la société de CHF 30'000.- en 2009 et de CHF 33'146.- en 2010, indiquant qu’il était également actionnaire de celle-ci pour 225 parts dans la feuille « F2 » relative à l’état des titres et débiteur d’un prêt sans intérêts en sa faveur dans la formule « E1 », annexant à ses déclarations un certificat de salaire.</w:t>
      </w:r>
    </w:p>
    <w:p>
      <w:r>
        <w:t>Malgré la présence de ces éléments, qu’elle ne conteste pas, l’autorité recourante soutient que M. A______ n’a émis aucune réserve s’agissant du prêt consenti par la société.</w:t>
      </w:r>
    </w:p>
    <w:p>
      <w:r>
        <w:t>Elle ne saurait toutefois être suivie sur ce point, dès lors que M. A______ paraît avoir transmis à l’AFC-GE tous les éléments en sa possession lui</w:t>
      </w:r>
    </w:p>
    <w:p>
      <w:r>
        <w:t>- 17/20 - A/4030/2013 permettant d’établir sa taxation. Il ne pouvait en particulier pas lui remettre une copie du contrat de prêt, inexistant au moment de l’établissement de ses déclarations d’impôt, un tel contrat n’ayant été conclu qu’en date du 12 juin 2012 et communiqué à l’AFC-GE le 16 juillet 2013. Il ne peut pas non plus être reproché à M. A______ de ne pas avoir joint à ses déclarations d’impôt les procès-verbaux de saisie, valant actes de défaut de biens, établis à son encontre, qui, outre le fait qu’ils n’étaient pas pertinents pour établir sa taxation, pouvaient être supposés connus de l’AFC-GE puisque les créances correspondantes lui avaient été cédées entre 2009 et 2011. Il ne saurait ainsi être reproché à M. A______ de ne pas avoir correctement présenté sa situation financière.</w:t>
      </w:r>
    </w:p>
    <w:p>
      <w:r>
        <w:t>c. L’autorité recourante ne peut pas davantage être suivie lorsqu’elle affirme qu’en raison de l’étanchéité de ses services, elle n’avait pas connaissance de ces six actes de défaut de biens, dès lors qu’ils lui avaient été cédés.</w:t>
      </w:r>
    </w:p>
    <w:p>
      <w:r>
        <w:t>Même à supposer que tel ait été le cas, les difficultés financières de M. A______ ressortaient déjà de ses déclarations fiscales précédentes, pour les années 2005 à 2008. Alors qu’il n’a déclaré qu’un revenu de CHF 9'983.- en 2005 perçu au titre des prestations de l’assurance-chômage, sa rétribution n’était plus que de CHF 1.- l’année suivante, augmentant à CHF 30'000.- en 2007 et 2008, du fait de son activité pour le compte de la société.</w:t>
      </w:r>
    </w:p>
    <w:p>
      <w:r>
        <w:t>À cela s’ajoute qu’entre 2006 et 2007, l’AFC-GE a requis de M. A______ plusieurs précisions en lien avec sa situation financière, lui demandant de compléter, à deux reprises, la formule servant à déterminer le montant de ses dépenses annuelles, qu’il a indiqué être de CHF 36'678.- en 2005 et de CHF 24'116.- en 2006, ajoutant qu’il n’arrivait à subvenir à ses besoins que grâce à l’aide de ses proches.</w:t>
      </w:r>
    </w:p>
    <w:p>
      <w:r>
        <w:t>Telle que résultant de ses déclarations fiscales pour les années suivantes, soit 2009 et 2010, la situation financière de M. A______ n’apparaît pas non plus avoir subi de changements significatifs, puisque le salaire perçu de son activité pour le compte de la société demeurait modeste, l’intéressé n’ayant pas réalisé d’autre revenu durant cette période.</w:t>
      </w:r>
    </w:p>
    <w:p>
      <w:r>
        <w:t>d. L’autorité recourante soutient qu’aucune inexactitude flagrante, indiscutable et évidente ne ressortait des déclarations fiscales litigieuses, de sorte qu’elle ne pouvait se rendre compte du caractère simulé du prêt au moment de la taxation ordinaire, ce qui n’avait au demeurant pu être établi que par le service des personnes morales, alors que les bordereaux pour les années 2009 et 2010 étaient déjà entrés en force.</w:t>
      </w:r>
    </w:p>
    <w:p>
      <w:r>
        <w:t>Elle perd toutefois de vue qu’outre la question de la situation financière de M. A______, comme précédemment évoquée, différents indices résultaient de ses déclarations fiscales, propres à éveiller son attention. Il en va ainsi du fait que</w:t>
      </w:r>
    </w:p>
    <w:p>
      <w:r>
        <w:t>- 18/20 - A/4030/2013 M. A______ était mentionné simultanément comme administrateur unique, actionnaire principal et employé de la société, étant précisé que le contrat de cession d’actions avait été transmis à l’AFC-GE, ainsi qu’au bénéfice d’un prêt, au demeurant sans intérêts, concédé par B______, activité n’entrant pas dans son but social, qu’il n’apparaissait pas pouvoir rembourser au vu de sa situation financière et dont le montant pouvait laisser supposer qu’il serait utilisé pour couvrir ses besoins vitaux. Face à de tels indices, il appartenait à l’autorité recourante de requérir des explications complémentaires à M. A______ pour juger du caractère simulé ou non du prêt, comme elle l’a d’ailleurs fait pour établir son imposition pour les années 2005 et 2006, à l’instar du service de la taxation des personnes morales, qui a requis de la société des explication au sujet du compte actionnaire figurant à son bilan.</w:t>
      </w:r>
    </w:p>
    <w:p>
      <w:r>
        <w:t>Dans ce contexte, il n’apparaît pas déterminant que l’autorité recourante n’ait pas eu connaissance des états financiers de la société, ni du dossier en mains du service de la taxation des personnes morales, documents qu’elle aurait d’ailleurs aisément pu consulter auprès de celui-ci. À cela s’ajoute que ce dernier service a entamé des démarches auprès de B______ au mois de décembre 2010 déjà, requérant des renseignements au sujet du prêt litigieux, alors que l’imposition de M. A______ n’est intervenue que postérieurement, par bordereaux du 21 février 2011. Même à supposer que la tâche visant à établir l’existence d’une prestation appréciable en argent et d’une dissimulation de bénéfice relevait du domaine de compétence d’un autre service que celui de la taxation des personnes physiques, il était loisible à l’AFC-GE d’attendre que le premier se prononce pour qu’elle statue à son tour, dans le cadre de la taxation ordinaire. Le fait que la société n’ait, quant à elle, pas contesté son imposition ne saurait au surplus être interprété en défaveur de M. A______, situation relevant de la taxation ordinaire qui pose des questions de fond, la présente procédure étant limitée à l’examen des conditions d’ouverture de la procédure en rappel d’impôt.</w:t>
      </w:r>
    </w:p>
    <w:p>
      <w:r>
        <w:t>L’autorité recourante s’est, au contraire, contentée d’établir les bordereaux litigieux, sans procéder à l’appréciation des éléments factuels figurant dans les déclarations correspondantes de M. A______, ni mener une instruction complémentaire, malgré la présence de différents éléments qui, pris dans leur ensemble, pouvaient laisser présager l’existence d’un prêt simulé, situation ne requérant pas une charge de travail supplémentaire de sa part, notamment au regard de la simplicité de la structure mise en place par l’intéressé. Elle ne pouvait ainsi attendre l’entrée en force des bordereaux pour effectuer les reprises litigieuses, la procédure en rappel d’impôt n’ayant pas pour vocation, comme dans le cas présent, de parer au défaut d’attention des autorités fiscales, sous peine de porter irrémédiablement atteinte à la sécurité du droit.</w:t>
      </w:r>
    </w:p>
    <w:p>
      <w:r>
        <w:t>e. Il en découle que la procédure en rappel d’impôt était exclue, comme l’a, à juste titre, retenu le TAPI, dont le jugement sera ainsi confirmé. Il en va de même,</w:t>
      </w:r>
    </w:p>
    <w:p>
      <w:r>
        <w:t>- 19/20 - A/4030/2013 par voie de conséquence, de la procédure pour soustraction d’impôt, qui n’a pas lieu d’être. 7)</w:t>
      </w:r>
    </w:p>
    <w:p>
      <w:r>
        <w:t>Il s’ensuit que le recours sera rejeté. 8)</w:t>
      </w:r>
    </w:p>
    <w:p>
      <w:r>
        <w:t>Malgré l’issue du litige, aucun émolument ne sera mis à la charge de l’AFC-GE (art. 87 al. 1 LPA). Une indemnité de procédure de CHF 1'000.-, qui y a conclu et a exposé des frais pour sa défense, sera allouée à M. A______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