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ATA/1221/2025 vom 4. November 2025</w:t>
      </w:r>
    </w:p>
    <w:p>
      <w:r>
        <w:t>GE Cour de justice, 2025-11-04, FR</w:t>
      </w:r>
    </w:p>
    <w:p>
      <w:r>
        <w:rPr>
          <w:b/>
        </w:rPr>
        <w:t xml:space="preserve">Quelle: </w:t>
      </w:r>
      <w:r>
        <w:t>https://mcp.opencaselaw.ch/entscheid/ge_gerichte_ATA_1221_2025</w:t>
      </w:r>
    </w:p>
    <w:p>
      <w:r>
        <w:t>FR: GE_GERICHTE ATA/1221/2025 du 4 novembre 2025</w:t>
      </w:r>
    </w:p>
    <w:p>
      <w:r>
        <w:t>IT: GE_GERICHTE ATA/1221/2025 del 4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31a de la loi générale relative au personnel de l’administration cantonale, du pouvoir judiciaire et des établissements publics médicaux du 4 décembre 1997 - LPAC - B 5 05).</w:t>
      </w:r>
    </w:p>
    <w:p>
      <w:r>
        <w:rPr>
          <w:b/>
        </w:rPr>
        <w:t>E. 2</w:t>
      </w:r>
    </w:p>
    <w:p>
      <w:r>
        <w:t>Il convient de préciser l'objet du litige.</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w:t>
      </w:r>
    </w:p>
    <w:p>
      <w:r>
        <w:rPr>
          <w:b/>
        </w:rPr>
        <w:t>E. 2.2</w:t>
      </w:r>
    </w:p>
    <w:p>
      <w:r>
        <w:t>En l’espèce, le litige porte uniquement sur le refus de l’intimé de modifier la phrase « Serviable et ponctuel, Monsieur A______ a entretenu de très bonnes relations avec les contribuables ou leurs mandataires. Monsieur A______ a donné sa démission étant donné que son comportement envers ses collègues faisait l’objet de contestations de leur part, et a immédiatement ébranlé le lien de confiance », en supprimant la référence à sa démission et aux motifs de celle-ci, et d’ajouter qu’il entretenait d’excellentes relations avec ses collègues et avait participé à la formation des collaborateurs et toujours répondu aux besoins du service. Les circonstances dans lesquelles il a présenté sa démission ne font pas l’objet du litige. Il est relevé à cet égard que le recourant n’a pas contesté ni cherché à invalider sa démission, de sorte qu’il ne peut être revenu sur celle-ci, comme il semble le sous-entendre.</w:t>
      </w:r>
    </w:p>
    <w:p>
      <w:r>
        <w:rPr>
          <w:b/>
        </w:rPr>
        <w:t>E. 3</w:t>
      </w:r>
    </w:p>
    <w:p>
      <w:r>
        <w:t>Dans un premier moyen, il reproche à l’autorité intimée la violation de son droit d’être entendu et du principe de la bonne foi du fait qu’aucune enquête administrative n’avait été ouverte.</w:t>
      </w:r>
    </w:p>
    <w:p>
      <w:r>
        <w:rPr>
          <w:b/>
        </w:rPr>
        <w:t>E. 3.1</w:t>
      </w:r>
    </w:p>
    <w:p>
      <w:r>
        <w:t>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167 consid. 4.1 ; 140 I 285 consid. 6.3.1 et les arrêts cités). Ce droit ne s’étend toutefois qu’aux éléments pertinents pour décider de</w:t>
      </w:r>
    </w:p>
    <w:p>
      <w:r>
        <w:t>- 7/13 - A/1887/2025 l’issue du litige et le droit de faire administrer des preuves n’empêche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3.2</w:t>
      </w:r>
    </w:p>
    <w:p>
      <w:r>
        <w:t>Aux termes de l’art. 27 al. 2 LPAC, le Conseil d’État peut en tout temps ordonner l’ouverture d’une enquête administrative qu’il confie à une personne qui a les compétences requises. Il doit le faire dans les hypothèses visées à l’art. 16 al. 1 let. c LPAC. Selon cette dernière disposition, les fonctionnaires et les employés qui enfreignent leurs devoirs de service, soit intentionnellement soit par négligence, peuvent faire l'objet, selon la gravité de la violation, du retour au statut d'employé en période probatoire pour une durée maximale de trois ans ou de la révocation.</w:t>
      </w:r>
    </w:p>
    <w:p>
      <w:r>
        <w:rPr>
          <w:b/>
        </w:rPr>
        <w:t>E. 3.3</w:t>
      </w:r>
    </w:p>
    <w:p>
      <w:r>
        <w:t>En l’espèce, il ressort du dossier et de l’audience qui s’est tenue devant la chambre administrative que, lors de l’entretien du 24 mars 2024, le recourant avait été, notamment, informé qu’une enquête administrative serait ouverte, mais qu’elle n’aurait pas lieu s’il démissionnait. À la suite de sa démission, aucune enquête administrative n’a eu lieu, conformément aux indications données au recourant. Si une telle enquête avait été ouverte, l’autorité intimée aurait agi de manière déloyale et contraire au principe de la bonne foi, ce dont elle s’est à juste titre abstenue. Elle ne peut donc se voir reprocher de ne pas avoir ouvert une telle enquête. Le grief est donc infondé.</w:t>
      </w:r>
    </w:p>
    <w:p>
      <w:r>
        <w:rPr>
          <w:b/>
        </w:rPr>
        <w:t>E. 4</w:t>
      </w:r>
    </w:p>
    <w:p>
      <w:r>
        <w:t>Le recourant allègue que l’autorité intimée a violé le principe de la bonne foi et les principes de bienveillance et de véracité figurant à l’art. 330a CO, contrairement à l’engagement qu’elle avait pris à son égard. Des termes péjoratifs ou défavorables ne devaient en principe pas figurer dans un certificat de travail sauf s’il s’agissait de faits importants. L’autorité avait donné trop d’importance à des faits isolés qui prenaient une place excessive par rapports aux excellentes évaluations qu’il avait eues pendant toute la durée de ses années de service.</w:t>
      </w:r>
    </w:p>
    <w:p>
      <w:r>
        <w:rPr>
          <w:b/>
        </w:rPr>
        <w:t>E. 4.1</w:t>
      </w:r>
    </w:p>
    <w:p>
      <w:r>
        <w:t>L'art. 39 du règlement d’application de la loi générale relative au personnel de l’administration cantonale, du pouvoir judiciaire et des établissements publics médicaux du 24 février 1999 (RPAC - B 5 05.01) prescrit qu'à la fin des rapports de service, le membre du personnel reçoit un certificat de sa hiérarchie portant sur la nature et la durée du travail ainsi que sur la qualité de son travail et son comportement. À la demande expresse du membre du personnel, le certificat ne porte que sur la nature et la durée du travail.</w:t>
      </w:r>
    </w:p>
    <w:p>
      <w:r>
        <w:rPr>
          <w:b/>
        </w:rPr>
        <w:t>E. 4.2</w:t>
      </w:r>
    </w:p>
    <w:p>
      <w:r>
        <w:t>Dans le cadre d'une relation de travail de droit public, la délivrance d'un certificat de travail fait partie du devoir de diligence et de protection de l'employeur. Le but du certificat de travail est de favoriser l’avenir économique du travailleur et ses recherches d’emploi (ATF 107 IV 35 ; ATA/454/2022 du 3 mai 2022 consid. 3b ; ATA/775/2021 du 27 juillet 2021 consid. 15c). Sauf lorsque le</w:t>
      </w:r>
    </w:p>
    <w:p>
      <w:r>
        <w:t>- 8/13 - A/1887/2025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BRUCHEZ/Patrick MANGOLD/Jean-Christophe SCHWAAB, Commentaire du contrat de travail, 4ème éd., 2019, p. 253-254, n. 4). Il est notoire que ce document est important pour une personne en recherche d'emploi (ATA/454/2022 du 3 mai 2022 consid. 3b ; ATA/1176/2018 du 6 novembre 2018 consid. 28b ; ATA/1589/2017 précité consid. 3a).</w:t>
      </w:r>
    </w:p>
    <w:p>
      <w:r>
        <w:rPr>
          <w:b/>
        </w:rPr>
        <w:t>E. 4.3</w:t>
      </w:r>
    </w:p>
    <w:p>
      <w:r>
        <w:t>Un certificat de travail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à des allusions dissimulées ou inutilement dépréciatives, voire constitutives de fautes d'orthographe ou de grammaire (arrêt du Tribunal fédéral 4C.129/2003 du 5 septembre 2003 consid. 6.1). Il appartient en premier lieu aux supérieurs hiérarchiques de qualifier les prestations de l'employé du moment qu'ils peuvent le mieux évaluer le travail quotidien et apprécier le comportement de l'intéressé (ATF 118 Ib 164 consid. 4b ; ATA/499/2025 précité consid. 3.5).</w:t>
      </w:r>
    </w:p>
    <w:p>
      <w:r>
        <w:rPr>
          <w:b/>
        </w:rPr>
        <w:t>E. 4.4</w:t>
      </w:r>
    </w:p>
    <w:p>
      <w:r>
        <w:t>Le certificat doit donner une image aussi fidèle que possible de l’activité, des prestations et du comportement du travailleur (CR CO I-Ordolli, art. 330a N 1). Eu égard à son but, le certificat de travail doit être formulé de manière bienveillante. Il appartient à l’employeur de choisir une formulation qui favorise l’avenir économique du travailleur et ne déprécie pas inutilement ce dernier. Le certificat doit être conforme à la réalité et complet. L’employeur ne doit pas cacher des éléments importants pour un futur employeur, pour autant qu’ils soient pertinents et fondés, même s’ils peuvent nuire au travailleur. Le certificat doit porter sur l’ensemble de la relation de travail. 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 a CO, p. 126 et les références citées).</w:t>
      </w:r>
    </w:p>
    <w:p>
      <w:r>
        <w:t>- 9/13 - A/1887/2025 En synthèse, s'il doit être établi en principe de manière bienveillante, le certificat de travail peut et même doit contenir des faits et appréciations défavorables, dans la mesure où ces éléments sont pertinents et fondés (Aurélien WITZIG, Droit du travail, 2018, p. 335). Selon le Tribunal fédéral, le motif peut aussi être mentionné s’il est conforme à la réalité et pertinent pour un futur employeur, contribuant ainsi à donner une image complète des prestations et du comportement du travailleur (exemples: manque de flexibilité et d’adaptation du travailleur, implication dans le cadre d’une affaire de blanchiment d’argent pour un banquier, comportement propre à rompre la confiance qu’impliquent les rapports de travail dans le cas d’un licenciement immédiat justifié (voir par ex. CAPH 109/2006). Les mêmes considérations s’appliquent à la mention de l’auteur de la résiliation du contrat de travail (CR CO I-ORDOLLI, n 24). Le motif doit être mentionné s’il permet à l’employeur de se faire une idée sur l’ensemble de la relation de travail (ATF 138 III 510 consid. 4.1). Toutefois, les derniers temps du rapport d’emploi ne doivent pas prendre une place exagérément importante par rapport à l’ensemble de la relation. Le rédacteur du certificat devra donc se méfier de la tendance à porter davantage l’accent sur les événements les plus récents, surtout lorsque ceux-ci sont chargés d’émotion (Aurélien WITZIG, op. cit., p. 335).</w:t>
      </w:r>
    </w:p>
    <w:p>
      <w:r>
        <w:rPr>
          <w:b/>
        </w:rPr>
        <w:t>E. 4.5</w:t>
      </w:r>
    </w:p>
    <w:p>
      <w:r>
        <w:t>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w:t>
      </w:r>
    </w:p>
    <w:p>
      <w:r>
        <w:rPr>
          <w:b/>
        </w:rPr>
        <w:t>E. 4.6</w:t>
      </w:r>
    </w:p>
    <w:p>
      <w:r>
        <w:t>Le Mémento des instructions de l'office du personnel de l'État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ATA/1060/2025 du 30 septembre 2025 consid. 7.3). Les directives contenues dans le MIOPE précisent que les indications contenues dans le certificat de travail doivent être objectives et exactes, non seulement au titre de l'élémentaire déontologie, mais afin qu'un éventuel futur employeur puisse se</w:t>
      </w:r>
    </w:p>
    <w:p>
      <w:r>
        <w:t>- 10/13 - A/1887/2025 faire une idée aussi réelle que possible des qualités et/ou défauts du candidat qui se présente à lui (MIOPE 06.01.04).</w:t>
      </w:r>
    </w:p>
    <w:p>
      <w:r>
        <w:rPr>
          <w:b/>
        </w:rPr>
        <w:t>E. 4.7</w:t>
      </w:r>
    </w:p>
    <w:p>
      <w:r>
        <w:t>En l’espèce, il ressort des comptes rendus que l’autorité a produits que le recourant a envoyé divers messages à caractère sexuel à des collègues, ce que le recourant a admis. Les destinataires desdits messages se sont sentis mal à l’aise et ont ressenti lesdits messages comme déplacés dans la sphère professionnelle. Il est vrai que les déclarations de l’autorité sont fluctuantes quant aux propositions soumises au recourant. En effet, l’autorité a d’abord affirmé avoir évoqué avec le recourant, après l’avoir confronté aux messages à caractère sexuel qu’il avait adressés à des collègues, soit une procédure de résiliation des rapports de service soit une enquête administrative. Ce n’est qu’en audience que l’autorité intimée a indiqué avoir proposé au recourant la démission, la saisine du groupe de confiance ou l’ouverture d’une enquête administrative. Cela demeure cependant sans pertinence pour l’issue du litige. En effet, au vu de la teneur des messages, qui n’ont pas été des évènements isolés, l’employeur ne pouvait raisonnablement pas les taire dans un document qui couvre l’intégralité des rapports de service. Le caractère particulièrement déplacé et inadmissible desdits messages – qui a, selon l’autorité intimée, rompu son rapport de confiance avec le recourant – ne permettait pas de passer ces graves manquements sous silence. L’intimé a souligné dans le certificat de travail les qualités professionnelles du recourant de manière à les présenter fidèlement à ses EEDP et à l’appréciation de sa hiérarchie. L’autorité consacre quasiment l’entièreté du certificat de travail à mettre en avant les qualités du recourant. Contrairement à ce que fait valoir le recourant, aucune assurance ne lui a été donnée selon laquelle il ne serait pas fait mention des causes qui ont précipité son départ de son poste. Tant la RRH que le directeur ont contesté avoir tenu des propos allant dans ce sens. En outre, une telle assurance aurait contrevenu à l’obligation de vérité et de complétude que l’autorité intimée devait observer dans l’établissement du certificat de travail. Il est vrai que la formulation selon laquelle il était apparu « qu’entre 2020 et 2023 », le recourant avait approché des collègues d’une manière ressentie comme inopportune laisse entendre que ces agissements se seraient produits de manière continue durant cette période, ce qui ne ressort cependant pas du dossier. Les messages inappropriés ont été adressés en 2022 et 2023 à E______ et G______. Les dates des messages à caractère sexuel adressés à M______, voire à d’autres personnes mentionnées dans le dossier ne sont pas précisées ; ces messages ont uniquement été évoqués lors de l’entretien de service au cours duquel il a été exposé au recourant qu’en cas d’enquête administrative, ces personnes seraient également auditionnées. Faute d’avoir établi les dates auxquelles ce type de messages a été adressé par le recourant à M______ et d’autres personnes que E______ et G______, le certificat de travail devra ainsi être modifié en remplaçant « entre » 2020 et 2023 par « en 2022 et 2023 ».</w:t>
      </w:r>
    </w:p>
    <w:p>
      <w:r>
        <w:t>- 11/13 - A/1887/2025 La question se pose de savoir si le fait de mentionner les circonstances de la fin des rapports de service en conclusion du certificat de travail peut donner l’impression que celles-ci ont été déterminantes dans l’appréciation globale des prestations du travailleur. Cela étant, il est usuel de terminer par une phrase mentionnant les motifs pour lesquels un employé quitte son emploi, d’une part. D’autre part, lesdits motifs ayant conduit à la fin des rapports de service, même si c’est le recourant qui a présenté sa démission et non son employeur qui y a mis un terme, ne sauraient être tus. Il s’agit de faits graves et répétés, qui violent les devoirs de fidélité et de réserve du fonctionnaire. Par ailleurs, l’autorité intimée, en précisant que « malheureusement » ces faits avaient rompu le rapport de confiance ne laisse pas entendre que le recourant aurait été licencié de manière immédiate et exprime aussi le regret que l’employeur a éprouvé de voir le lien de confiance rompu avec un employé dont les qualités professionnelles ont manifestement été très appréciées. Il sied de relever que le terme selon lequel le recourant avait « approché » quelques collègues est tout à fait justifié. Il ressort du dossier que le recourant a contacté deux collègues par message dans une logique de séduction. Ainsi, sur ce point, l’autorité intimée a établi un certificat de travail conforme aux principes de véracité, de complétude et de bienveillance. Quant à l’ajout des activités spécifiques, accomplies à teneur du dossier par le recourant en sus de celles figurant dans son cahier des charges, le principe de complétude justifie qu’il soit fait mention du fait qu’il s’était vu confier des activités spécifiques en sus de son cahier des charges qu’il a exécutées avec succès. Ce point devra donc être rajouté. Au vu de ce qui précède, le recours sera partiellement admis dans le sens des modifications retenues ci-avant.</w:t>
      </w:r>
    </w:p>
    <w:p>
      <w:r>
        <w:rPr>
          <w:b/>
        </w:rPr>
        <w:t>E. 5</w:t>
      </w:r>
    </w:p>
    <w:p>
      <w:r>
        <w:t>Vu l'issue du litige, un émolument, réduit, de CHF 300.- sera mis à la charge du recourant et une indemnité de procédure, réduite, de CHF 500.- lui sera allouée (art. 87 LPA). Le litige est une contestation pécuniaire au sens des art. 82 ss de la loi fédérale sur le Tribunal fédéral du 17 juin 2005 (LTF - RS 173.110) ; il appartient au recourant d’apporter les éléments permettant au Tribunal fédéral d’arrêter la valeur litigieuse. (ATF 116 II 379 consid. 2b ; 8C_593/2017 du 13 novembre 2017 consid. 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