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ATA/121/2017 vom 8. Februar 2017</w:t>
      </w:r>
    </w:p>
    <w:p>
      <w:r>
        <w:t>GE Cour de justice, 2017-02-08, FR</w:t>
      </w:r>
    </w:p>
    <w:p>
      <w:r>
        <w:rPr>
          <w:b/>
        </w:rPr>
        <w:t xml:space="preserve">Quelle: </w:t>
      </w:r>
      <w:r>
        <w:t>https://mcp.opencaselaw.ch/entscheid/ge_gerichte_ATA_121_2017</w:t>
      </w:r>
    </w:p>
    <w:p>
      <w:r>
        <w:t>FR: GE_GERICHTE ATA/121/2017 du 8 février 2017</w:t>
      </w:r>
    </w:p>
    <w:p>
      <w:r>
        <w:t>IT: GE_GERICHTE ATA/121/2017 del 8 febbraio 2017</w:t>
      </w:r>
    </w:p>
    <w:p>
      <w:pPr>
        <w:pStyle w:val="Heading2"/>
      </w:pPr>
      <w:r>
        <w:t>Erwägungen</w:t>
      </w:r>
    </w:p>
    <w:p>
      <w:r>
        <w:rPr>
          <w:b/>
        </w:rPr>
        <w:t>E. 1</w:t>
      </w:r>
    </w:p>
    <w:p>
      <w:r>
        <w:t>Madame A______ est titulaire d’un brevet d’aptitude à l’enseignement primaire depuis 1983, d’un baccalauréat en économie et philosophie depuis 1977 ainsi que d’une formation universitaire en formateur de terrain depuis 2007.</w:t>
      </w:r>
    </w:p>
    <w:p>
      <w:r>
        <w:t>Elle a exercé la fonction d’enseignement titulaire entre les années 1983 et 2008.</w:t>
      </w:r>
    </w:p>
    <w:p>
      <w:r>
        <w:t>Elle a obtenu le Certificate of Advanced Studies en administration et gestion d’institutions de formation en février 2009. Par arrêté du Conseil d’État du 16 avril 2008, elle a été promue en qualité de cadre supérieure de l’administration cantonale à la fonction de directeur d’établissement primaire à dater du 11 août 2008, avec une classe de traitement maximum 24. Son taux d’activité était de 100 %.</w:t>
      </w:r>
    </w:p>
    <w:p>
      <w:r>
        <w:t>Elle est aujourd’hui directrice de l’établissement B______.</w:t>
      </w:r>
    </w:p>
    <w:p>
      <w:r>
        <w:rPr>
          <w:b/>
        </w:rPr>
        <w:t>E. 2</w:t>
      </w:r>
    </w:p>
    <w:p>
      <w:r>
        <w:t>Mme A______ a été soumise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w:t>
      </w:r>
    </w:p>
    <w:p>
      <w:r>
        <w:t>- 3/13 - A/4494/2016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t>- 4/13 - A/4494/2016</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Mme A______ ,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Mme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rPr>
          <w:b/>
        </w:rPr>
        <w:t>E. 22</w:t>
      </w:r>
    </w:p>
    <w:p>
      <w:r>
        <w:t>Le 14 décembre 2016, Mme A______ a transmis ses observations.</w:t>
      </w:r>
    </w:p>
    <w:p>
      <w:r>
        <w:t>Une prolongation du délai aurait dû lui être accordée, au-delà du fait qu’il était absurde, inopportun et même illégal de mettre en place pareille modification du</w:t>
      </w:r>
    </w:p>
    <w:p>
      <w:r>
        <w:t>- 5/13 - A/4494/2016 cahier des charges alors même que la constitutionnalité de l’art. 59 LIP n’était pas acquise.</w:t>
      </w:r>
    </w:p>
    <w:p>
      <w:r>
        <w:rPr>
          <w:b/>
        </w:rPr>
        <w:t>E. 23</w:t>
      </w:r>
    </w:p>
    <w:p>
      <w:r>
        <w:t>Par décision du 21 décembre 2016, le département a informé l’intéressée que son cahier des charges modifié prendrait effet au 1er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Mme A______ a interjeté recours devant la chambre administrative de la Cour de justice (ci-après : la chambre administrative).</w:t>
      </w:r>
    </w:p>
    <w:p>
      <w:r>
        <w:t>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w:t>
      </w:r>
    </w:p>
    <w:p>
      <w:r>
        <w:t>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w:t>
      </w:r>
    </w:p>
    <w:p>
      <w:r>
        <w:t>- 6/13 - A/4494/2016</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t>- 7/13 - A/4494/2016</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