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ATA/121/2014 vom 25. Februar 2014</w:t>
      </w:r>
    </w:p>
    <w:p>
      <w:r>
        <w:t>GE Cour de justice, 2014-02-25, FR</w:t>
      </w:r>
    </w:p>
    <w:p>
      <w:r>
        <w:rPr>
          <w:b/>
        </w:rPr>
        <w:t xml:space="preserve">Quelle: </w:t>
      </w:r>
      <w:r>
        <w:t>https://mcp.opencaselaw.ch/entscheid/ge_gerichte_ATA_121_2014</w:t>
      </w:r>
    </w:p>
    <w:p>
      <w:r>
        <w:t>FR: GE_GERICHTE ATA/121/2014 du 25 février 2014</w:t>
      </w:r>
    </w:p>
    <w:p>
      <w:r>
        <w:t>IT: GE_GERICHTE ATA/121/2014 del 25 febbraio 2014</w:t>
      </w:r>
    </w:p>
    <w:p>
      <w:pPr>
        <w:pStyle w:val="Heading2"/>
      </w:pPr>
      <w:r>
        <w:t>Erwägungen</w:t>
      </w:r>
    </w:p>
    <w:p>
      <w:r>
        <w:rPr>
          <w:b/>
        </w:rPr>
        <w:t>E. 26</w:t>
      </w:r>
    </w:p>
    <w:p>
      <w:r>
        <w:t>septembre 2010 - LOJ - E 2 05 ; art. 62 al. 1 let. b de la loi sur la procédure administrative du 12 septembre 1985 - LPA - E 5 10). 2)</w:t>
      </w:r>
    </w:p>
    <w:p>
      <w:r>
        <w:t>La question de la qualité pour recourir de la fondation souffrira de demeurer ouverte vu ce qui suit. 3)</w:t>
      </w:r>
    </w:p>
    <w:p>
      <w:r>
        <w:t>Selon la jurisprudence du Tribunal fédéral,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P. MOOR/E. POLTIER, Droit administratif, vol. 2, 3ème éd., 2011, p. 748</w:t>
      </w:r>
    </w:p>
    <w:p>
      <w:r>
        <w:t>- 5/7 - A/1631/2013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w:t>
      </w:r>
    </w:p>
    <w:p>
      <w:r>
        <w:t>La condition de l’intérêt actuel fait défaut en particulier lorsque, par exemple, la décision ou la loi est révoquée ou annulée en cours d’instance (ATF 111 Ib 182 consid. 2 p. 185 ; 110 Ia 140 consid. 2 p. 141/142), la décision attaquée a été exécutée et a sorti tous ses effets (ATF 125 I 394 consid. 4 p. 396- 398 ; 120 Ia 165 consid. 1a p. 166 et les références citées ; ATA/193/2013 du 26 mars 2013; ATA/727/2012 du 30 octobre 2012), le recourant a payé sans émettre aucune réserve la somme d’argent fixée par la décision litigieuse (ATF 106 Ia 151 ; 99 V 78) ou encore, en cas de recours concernant une décision personnalissime, lorsque le décès du recourant survient pendant l’instance (ATF 113 Ia 351 consid. 1 p. 352 ; P. MOOR/E. POLTIER, op. cit., p. 748 n. 5.7.2.3).</w:t>
      </w:r>
    </w:p>
    <w:p>
      <w:r>
        <w:t>En l’espèce, la recourante sollicite la restitution de l’effet suspensif à son recours contre l’autorisation de construire délivrée à SRO-Kundig le 22 avril 2013. Or, cette décision a été exécutée, les installations litigieuses étant construites. La restitution de l’effet suspensif n’a donc plus d’objet sur ce point. Le présent recours est donc irrecevable à cet égard. 4)</w:t>
      </w:r>
    </w:p>
    <w:p>
      <w:r>
        <w:t>La recourante sollicite l’arrêt de l’exploitation du compacteur, question distincte de l’arrêt de sa construction.</w:t>
      </w:r>
    </w:p>
    <w:p>
      <w:r>
        <w:t>Ce point a fait l’objet d’une demande de mesures provisionnelles formulée par la recourante devant le TAPI. La juridiction de première instance y a donné suite le 20 novembre 2013, dans la décision faisant l’objet du présent recours. Les mesures provisionnelles ordonnées ont toutefois été levées par la présidente du TAPI le 28 novembre 2013. La recourante n’a pas contesté cette dernière décision devant la chambre de céans.</w:t>
      </w:r>
    </w:p>
    <w:p>
      <w:r>
        <w:t>Dans ces circonstances, ses conclusions tendant à ce que la chambre administrative ordonne l’arrêt de l’exploitation du compacteur constituent en réalité une nouvelle demande de mesures provisionnelles, qui ne peut être</w:t>
      </w:r>
    </w:p>
    <w:p>
      <w:r>
        <w:t>- 6/7 - A/1631/2013 formulée que devant la juridiction saisie du litige au fond, soit le TAPI. Elles sont irrecevables devant la juridiction de céans. 5)</w:t>
      </w:r>
    </w:p>
    <w:p>
      <w:r>
        <w:t>Au vu de ce qui précède, le recours sera déclaré irrecevable. En tant qu’il constitue une demande de mesures provisionnelles destinée au TAPI, il sera adressé à cette juridiction (art. 11 et 64 LPA).</w:t>
      </w:r>
    </w:p>
    <w:p>
      <w:r>
        <w:t>Vu l’issue du litige, un émolument de CHF 1'000.- sera mis à la charge de la recourante qui succombe. Une indemnité de CHF 1'000.- sera octroyée à SRO- Kundig,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