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ATA/1217/2015 vom 10. November 2015</w:t>
      </w:r>
    </w:p>
    <w:p>
      <w:r>
        <w:t>GE Cour de justice, 2015-11-10, FR</w:t>
      </w:r>
    </w:p>
    <w:p>
      <w:r>
        <w:rPr>
          <w:b/>
        </w:rPr>
        <w:t xml:space="preserve">Quelle: </w:t>
      </w:r>
      <w:r>
        <w:t>https://mcp.opencaselaw.ch/entscheid/ge_gerichte_ATA_1217_2015</w:t>
      </w:r>
    </w:p>
    <w:p>
      <w:r>
        <w:t>FR: GE_GERICHTE ATA/1217/2015 du 10 novembre 2015</w:t>
      </w:r>
    </w:p>
    <w:p>
      <w:r>
        <w:t>IT: GE_GERICHTE ATA/1217/2015 del 10 novembre 2015</w:t>
      </w:r>
    </w:p>
    <w:p>
      <w:pPr>
        <w:pStyle w:val="Heading2"/>
      </w:pPr>
      <w:r>
        <w:t>Erwägungen</w:t>
      </w:r>
    </w:p>
    <w:p>
      <w:r>
        <w:rPr>
          <w:b/>
        </w:rPr>
        <w:t>E. 26</w:t>
      </w:r>
    </w:p>
    <w:p>
      <w:r>
        <w:t>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c. La chambre administrative a précisé à plusieurs reprises que l’art. 57 let. c LPA devait être interprété à la lumière de ces principes (ATA/762/2015 du</w:t>
      </w:r>
    </w:p>
    <w:p>
      <w:r>
        <w:rPr>
          <w:b/>
        </w:rPr>
        <w:t>E. 28</w:t>
      </w:r>
    </w:p>
    <w:p>
      <w:r>
        <w:t>juillet 2015). 4)</w:t>
      </w:r>
    </w:p>
    <w:p>
      <w:r>
        <w:t>Le recourant allègue que la ratification de sa libération de son obligation de travailler lui causerait un dommage irréparable sur le plan professionnel et sur celui de sa réputation.</w:t>
      </w:r>
    </w:p>
    <w:p>
      <w:r>
        <w:t>N’est toutefois litigieuse que la ratification par le Conseil d’État de la libération de l’obligation de travailler du recourant, et non ladite libération, l’intéressé ayant acquiescé à cette mesure par courrier du 21 août 2015. 5)</w:t>
      </w:r>
    </w:p>
    <w:p>
      <w:r>
        <w:t>La chambre administrative a tranché, dans le cadre d’une libération de l’obligation de travailler d’une directrice d’établissement secondaire, que l’autorité compétente pour prononcer la libération de l’obligation de travailler était la même que celle compétente pour décider d’une suspension provisoire au sens de l’art. 28 LPAC, en l’occurrence le Conseil d’État. On ne voyait pas pour quels motifs pertinents le Conseil d'État serait seul compétent lorsqu'il s'agit d'attendre le résultat d'une enquête administrative ou d'une information pénale et non dans les autres cas de libération de l'obligation de travailler (ATA/97/2014 du 18 février 2014).</w:t>
      </w:r>
    </w:p>
    <w:p>
      <w:r>
        <w:t>En l’espèce, la ratification de la décision était nécessaire au vu de la jurisprudence de la chambre administrative. Le recourant considère qu’il était au bénéfice d’un accord, grâce à sa correspondance du 21 août 2015. Il perd de vue que le Conseil d’État était l’autorité compétente pour autoriser une libération de l’obligation de travailler. Les représentants du DIP ne pouvaient pas engager le pouvoir exécutif cantonal, seul habilité à prononcer la mesure querellée, ce que la lettre du 17 août 2015 du DIP mentionnait clairement.</w:t>
      </w:r>
    </w:p>
    <w:p>
      <w:r>
        <w:t>De surcroît, selon l’art. 11 al. 1 LPA, la compétence des autorités est déterminée par la loi et ne peut être créée par accord entre les parties.</w:t>
      </w:r>
    </w:p>
    <w:p>
      <w:r>
        <w:t>Pour le surplus, le recourant n’allègue pas avoir limité son accord, dans son courrier du 21 août 2015, à ce que sa libération de son obligation de travailler ne porte que sur un seul établissement. Le recourant a acquiescé, sans autre réserve que de contester les griefs au fond, à la mesure annoncée par la correspondance du 17 août 2015 laquelle mentionnait la ratification par le Conseil d’État. 6)</w:t>
      </w:r>
    </w:p>
    <w:p>
      <w:r>
        <w:t>S’agissant de l’atteinte à sa réputation et à son avenir professionnel, la chambre administrative a déjà jugé qu’une telle décision en soi n’était pas susceptible de causer un préjudice irréparable puisqu’une décision finale, dans l’hypothèse où elle serait entièrement favorable au recourant, permettrait de la réparer (ATA/762/2015 précité ; ATA/338/2014 du 13 mai 2014).</w:t>
      </w:r>
    </w:p>
    <w:p>
      <w:r>
        <w:t>- 9/10 - A/3032/2015</w:t>
      </w:r>
    </w:p>
    <w:p>
      <w:r>
        <w:t>Les conditions nécessaires à l’application de la première hypothèse de l’art. 57 let. c LPA ne sont pas remplies. 7)</w:t>
      </w:r>
    </w:p>
    <w:p>
      <w:r>
        <w:t>La seconde hypothèse de l'art. 57 let. c LPA, à savoir l’obtention immédiate d'une décision finale permettant d'éviter une procédure probatoire longue et coûteuse en cas d’admission des recours, n'est pas davantage réalisée. Elle ne serait en effet pas susceptible d’éviter la procédure de licenciement actuellement en cours. 8)</w:t>
      </w:r>
    </w:p>
    <w:p>
      <w:r>
        <w:t>Vu ce qui précède, le recours sera déclaré irrecevable. 9)</w:t>
      </w:r>
    </w:p>
    <w:p>
      <w:r>
        <w:t>Compte tenu de l’issue du litige, un émolument de CHF 500.- sera mis à la charge du recourant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