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ATA/120/2012 vom 1. März 2012</w:t>
      </w:r>
    </w:p>
    <w:p>
      <w:r>
        <w:t>GE Cour de justice, 2012-03-01, FR</w:t>
      </w:r>
    </w:p>
    <w:p>
      <w:r>
        <w:rPr>
          <w:b/>
        </w:rPr>
        <w:t xml:space="preserve">Quelle: </w:t>
      </w:r>
      <w:r>
        <w:t>https://mcp.opencaselaw.ch/entscheid/ge_gerichte_ATA_120_2012</w:t>
      </w:r>
    </w:p>
    <w:p>
      <w:r>
        <w:t>FR: GE_GERICHTE ATA/120/2012 du 1 mars 2012</w:t>
      </w:r>
    </w:p>
    <w:p>
      <w:r>
        <w:t>IT: GE_GERICHTE ATA/120/2012 del 1 marzo 2012</w:t>
      </w:r>
    </w:p>
    <w:p>
      <w:pPr>
        <w:pStyle w:val="Heading2"/>
      </w:pPr>
      <w:r>
        <w:t>Erwägungen</w:t>
      </w:r>
    </w:p>
    <w:p>
      <w:r>
        <w:rPr>
          <w:b/>
        </w:rPr>
        <w:t>E. 1</w:t>
      </w:r>
    </w:p>
    <w:p>
      <w:r>
        <w:t>Interjeté le 22 février 2012 auprès de la chambre administrative, le recours dirigé contre le jugement rendu le 13 février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22 février 2012. En prononçant le présent arrêt ce jour, elle respecte ce délai.</w:t>
      </w:r>
    </w:p>
    <w:p>
      <w:r>
        <w:rPr>
          <w:b/>
        </w:rPr>
        <w:t>E. 3</w:t>
      </w:r>
    </w:p>
    <w:p>
      <w:r>
        <w:t>Le recourant conclut préalablement à l'octroi de l'effet suspensif au recours. De par le prononcé du présent arrêt, cette conclusion devient sans objet.</w:t>
      </w:r>
    </w:p>
    <w:p>
      <w:r>
        <w:t>Il sera néanmoins rappelé qu'à teneur de l'art. 10 al. 1 2ème phrase LaLEtr, le recours n'a pas d'effet suspensif, et que ce dernier ne peut donc pas être restitué au sens de l'art. 66 al. 2 LPA.</w:t>
      </w:r>
    </w:p>
    <w:p>
      <w:r>
        <w:t>- 6/9 - A/437/2012</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un crime (art. 76 al. 1 let. b ch. 1 LEtr renvoyant à l’art. 75 al. 1 let. h LEtr) ou s'il menace sérieusement d’autres personnes ou met gravement en danger leur vie ou leur intégrité corporelle et fait l’objet d’une poursuite pénale ou a été condamné pour ce motif (art. 76 al. 1 let. b ch. 1 LEtr renvoyant à l’art. 75 al. 1 let. g LEtr).</w:t>
      </w:r>
    </w:p>
    <w:p>
      <w:r>
        <w:rPr>
          <w:b/>
        </w:rPr>
        <w:t>E. 6</w:t>
      </w:r>
    </w:p>
    <w:p>
      <w:r>
        <w:t>En l'espèce, le TAPI ne pouvait pas retenir le motif de l'art. 76 al. 1 let. b ch. 1 LEtr en lien avec l’art. 75 al. 1 let. h LEtr. En effet, cette dernière disposition renvoie à la notion de crime au sens de l'art. 10 al. 2 CP. Il doit donc s'agir d'une infraction passible d’une peine privative de liberté de plus de trois ans, par opposition au délit (art. 10 al. 3 CP), passible d’une peine privative de liberté n’excédant pas trois ans ou d’une peine pécuniaire, et à la contravention, passible d'une amende (art. 103 CP).</w:t>
      </w:r>
    </w:p>
    <w:p>
      <w:r>
        <w:t>Le recourant a été condamné en Suisse une seule fois, le 14 novembre 2011, pour lésions corporelles simples qualifiées (art. 123 ch. 1 et 2 al. 1 CP), menaces (art. 180 al. 1 CP) et voies de fait (art. 126 al. 1 CP). Or cette dernière infraction est une contravention, et les deux premières sont des délits. En particulier, la circonstance aggravante prévue à l'art. 123 ch. 2 CP a pour seul effet de permettre la poursuite pénale d'office, la peine-menace restant néanmoins fixée à trois ans - et non davantage.</w:t>
      </w:r>
    </w:p>
    <w:p>
      <w:r>
        <w:t>La question de savoir si, comme le suggère l'officier de police, le motif de détention de l'art. 76 al. 1 let. b ch. 1 LEtr en lien avec l’art. 75 al. 1 let. g LEtr</w:t>
      </w:r>
    </w:p>
    <w:p>
      <w:r>
        <w:t>- 7/9 - A/437/2012 peut être retenu en lieu et place souffrira de rester ouverte, compte tenu de ce qui suit.</w:t>
      </w:r>
    </w:p>
    <w:p>
      <w:r>
        <w:rPr>
          <w:b/>
        </w:rPr>
        <w:t>E. 7</w:t>
      </w:r>
    </w:p>
    <w:p>
      <w:r>
        <w:t>En effet, le comportement de M. A______ permet de conclure qu’il se refuse à obtempérer aux instructions des autorités (art. 76 al. 1 let. b ch. 4 LEtr).</w:t>
      </w:r>
    </w:p>
    <w:p>
      <w:r>
        <w:t>Le recourant s'est ainsi soustrait physiquement à son renvoi le 16 février 2012. Il a également quitté la Suisse entre le 1er et le 8 février 2012, alors que ledit renvoi était prévu pour cette dernière date, pour revenir seulement le 9 février 2012. Il n'a pas non plus été possible de le trouver le 18 janvier 2012, quand bien même il a été enregistré comme présent par l'Hospice général. Quant au 29 septembre 2011, s'il n'a pas à proprement parler disparu puisqu'il s'est bien rendu à l'abri de Châtelaine, il n'a pas respecté le rendez-vous donné par les autorités dans ce cadre, ce qui ne peut que renforcer le constat précité.</w:t>
      </w:r>
    </w:p>
    <w:p>
      <w:r>
        <w:t>Il ressort également du dossier que le recourant est très mobile, se rendant sans difficulté et indifféremment dans divers pays d'Europe, et n'hésitant pas à utiliser divers noms d'emprunt. Il ne dispose pas non plus d'un lieu de résidence stable. En effet, bien qu'enregistré dans des foyers pour requérants d'asile, il en disparaît à son gré pendant des périodes indéterminées, quittant même le pays à l'occasion.</w:t>
      </w:r>
    </w:p>
    <w:p>
      <w:r>
        <w:t>La détention administrative de l'intéressé est dès lors fondée, dans la mesure où il s'est par ailleurs vu notifier en août 2011 une décision de non-entrée en matière et de renvoi aujourd'hui définitive.</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9 février 2012. Les autorités administratives ont entrepris avec célérité les démarches nécessaires à l’exécution du renvoi, organisant un vol de retour le 16 février 2012, puis un autre le 28 février 2012. Le principe de célérité a ainsi été respecté. En outre, eu égard aux déclarations fluctuantes du recourant quant à son accord par rapport à un renvoi en Allemagne, ainsi qu'à son comportement tel que décrit ci-dessus, aucune mesure moins incisive n’aurait permis d’assurer la présence de l’intéressé le jour du vol, de sorte que la mesure est conforme au principe de la proportionnalité. La durée de la détention, qui est en l'état bien inférieure à la durée légale maximale (art. 79 LEtr, étant précisé que l'art. 76 al. 2 LEtr ne trouve pas application en l'espèce puisque le motif de détention retenu n'est pas l'un de ceux prévus à l'art. 76 al. 1 let. b ch. 5 ou 6 LEtr), respecte également la garantie constitutionnelle précitée.</w:t>
      </w:r>
    </w:p>
    <w:p>
      <w:r>
        <w:t>- 8/9 - A/437/2012</w:t>
      </w:r>
    </w:p>
    <w:p>
      <w:r>
        <w:rPr>
          <w:b/>
        </w:rPr>
        <w:t>E.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l’espèce, le recourant n’invoque aucun élément en relation avec cette disposition et le dossier n’en révèle pas.</w:t>
      </w:r>
    </w:p>
    <w:p>
      <w:r>
        <w:rPr>
          <w:b/>
        </w:rPr>
        <w:t>E. 10</w:t>
      </w:r>
    </w:p>
    <w:p>
      <w:r>
        <w:t>Au vu de ce qui précède, le recours sera rejeté. Aucun émolument ne sera perçu, la procédure étant gratuite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