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ATA/1207/2017 vom 22. August 2017</w:t>
      </w:r>
    </w:p>
    <w:p>
      <w:r>
        <w:t>GE Cour de justice, 2017-08-22, FR</w:t>
      </w:r>
    </w:p>
    <w:p>
      <w:r>
        <w:rPr>
          <w:b/>
        </w:rPr>
        <w:t xml:space="preserve">Quelle: </w:t>
      </w:r>
      <w:r>
        <w:t>https://mcp.opencaselaw.ch/entscheid/ge_gerichte_ATA_1207_2017</w:t>
      </w:r>
    </w:p>
    <w:p>
      <w:r>
        <w:t>FR: GE_GERICHTE ATA/1207/2017 du 22 août 2017</w:t>
      </w:r>
    </w:p>
    <w:p>
      <w:r>
        <w:t>IT: GE_GERICHTE ATA/1207/2017 del 22 agosto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w:t>
      </w:r>
    </w:p>
    <w:p>
      <w:r>
        <w:t>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 La référence au « délai suffisant » de l’art. 86 al. 1 de cette disposition laisse une certaine marge d’appréciation à</w:t>
      </w:r>
    </w:p>
    <w:p>
      <w:r>
        <w:t>- 4/7 - A/1083/2017 l’autorité judiciaire saisie (ATA/916/2015 précité consid 2c ; ATA/881/2010 du</w:t>
      </w:r>
    </w:p>
    <w:p>
      <w:r>
        <w:rPr>
          <w:b/>
        </w:rPr>
        <w:t>E. 14</w:t>
      </w:r>
    </w:p>
    <w:p>
      <w:r>
        <w:t>décembre 2010 consid. 4a).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p. 302 s n. 2.2.8.3). Il suffit que celui-ci puisse en prendre connaissance (ATF 137 III 308 consid. 3.1.2 ; 118 II 42 consid. 3b ; 115 Ia 12 consid. 3b ; arrêts du Tribunal fédéral 2P.259/2006 du</w:t>
      </w:r>
    </w:p>
    <w:p>
      <w:r>
        <w:rPr>
          <w:b/>
        </w:rPr>
        <w:t>E. 18</w:t>
      </w:r>
    </w:p>
    <w:p>
      <w:r>
        <w:t>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 4)</w:t>
      </w:r>
    </w:p>
    <w:p>
      <w:r>
        <w:t>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w:t>
      </w:r>
    </w:p>
    <w:p>
      <w:r>
        <w:rPr>
          <w:b/>
        </w:rPr>
        <w:t>E. 20</w:t>
      </w:r>
    </w:p>
    <w:p>
      <w:r>
        <w:t>septembre 2009 consid. 5).</w:t>
      </w:r>
    </w:p>
    <w:p>
      <w:r>
        <w:t>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(ATA/50/2009 du</w:t>
      </w:r>
    </w:p>
    <w:p>
      <w:r>
        <w:t>- 5/7 - A/1083/2017 27 janvier 2009 consid. 3c).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p. 399 ; arrêt du Tribunal fédéral 1C_549/2009 du 1er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w:t>
      </w:r>
    </w:p>
    <w:p>
      <w:r>
        <w:rPr>
          <w:b/>
        </w:rPr>
        <w:t>E. 24</w:t>
      </w:r>
    </w:p>
    <w:p>
      <w:r>
        <w:t>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6)</w:t>
      </w:r>
    </w:p>
    <w:p>
      <w:r>
        <w:t>En l’occurrence, le délai de paiement au 27 avril 2017 a été imparti au recourant par pli recommandé du 28 mars 2017. Le recourant, censé avoir reçu la demande d’avance de frais le 5 avril 2017, vu le non-retrait du pli recommandé à l’échéance du délai de garde, n’a pas versé l’avance de frais au TAPI dans le délai imparti. Le seul fait qu’il ait été sous certificat médical d’incapacité de travail</w:t>
      </w:r>
    </w:p>
    <w:p>
      <w:r>
        <w:t>- 6/7 - A/1083/2017 pendant la période de notification du pli contenant la demande d’avance de frais ne constitue pas un cas de restitution possible du délai, selon la jurisprudence citée ci-dessus. En effet, les détails complémentaires fournis au juge délégué par le recourant sur les circonstances ayant entrainé que le courrier n’avait pas été retiré à la poste mettent en évidence que les problèmes de santé du recourant, qui n’était pas hospitalisé, mais se reposait chez son frère, ne l’empêchaient pas de se rendre à son domicile pour prendre son courrier, ou de prendre ses dispositions pour que quelqu’un le relève à sa place. En outre, s’il a pu récupérer l’avis postal après l’échéance de délai de garde, rien ne l’empêchait de se renseigner à la poste ou au TAPI, qu’il venait de saisir, pour savoir si ce pli recommandé provenait de lui. Dans ces circonstances, le TAPI était fondé à déclarer le recours irrecevable. Manifestement mal fondé, le recours sera ainsi rejeté sans acte d'instruction complémentaire, conformément à l'art. 72 LPA. 7)</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