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ATA/1205/2017 vom 22. August 2017</w:t>
      </w:r>
    </w:p>
    <w:p>
      <w:r>
        <w:t>GE Cour de justice, 2017-08-22, FR</w:t>
      </w:r>
    </w:p>
    <w:p>
      <w:r>
        <w:rPr>
          <w:b/>
        </w:rPr>
        <w:t xml:space="preserve">Quelle: </w:t>
      </w:r>
      <w:r>
        <w:t>https://mcp.opencaselaw.ch/entscheid/ge_gerichte_ATA_1205_2017</w:t>
      </w:r>
    </w:p>
    <w:p>
      <w:r>
        <w:t>FR: GE_GERICHTE ATA/1205/2017 du 22 août 2017</w:t>
      </w:r>
    </w:p>
    <w:p>
      <w:r>
        <w:t>IT: GE_GERICHTE ATA/1205/2017 del 22 agosto 2017</w:t>
      </w:r>
    </w:p>
    <w:p>
      <w:pPr>
        <w:pStyle w:val="Heading2"/>
      </w:pPr>
      <w:r>
        <w:t>Regeste</w:t>
      </w:r>
    </w:p>
    <w:p>
      <w:r>
        <w:t>Résumé: Confirmation de la jurisprudence fédérale reconnaissant la légalité de la pratique en matière de fixation de la valeur locative, des règles relatives à son adaptation et à son indexation. Les art. 24 al. 2 LIPP et 8 RIPP constituent bien une base légale suffisante s'agissant du principe quadriennal de l'indexation. Ainsi, la méthode impliquant le recours à une valeur locative de base déterminée en fonction de la surface habitable et des données statistiques relatives au loyer libre mensuel moyen des logements par m2, époque de construction 1971-1980 in casu avec valeur au m2 dégressive plus le nombre de m2 augmente, puis à une valeur locative brute corrigée en fonction de certains coefficients, puis à une adaptation quadriennale par indexation, a été validée. La situation d'un contribuable, propriétaire d'un logement situé dans une villa lui appartenant est différente de celle d'un contribuable, propriétaire d'un logement situé dans un appartement. Une augmentation de valeur locative peut donc se justifier. Recours rejeté.</w:t>
      </w:r>
    </w:p>
    <w:p>
      <w:pPr>
        <w:pStyle w:val="Heading2"/>
      </w:pPr>
      <w:r>
        <w:t>Erwägungen</w:t>
      </w:r>
    </w:p>
    <w:p>
      <w:r>
        <w:rPr>
          <w:b/>
        </w:rPr>
        <w:t>E. 24</w:t>
      </w:r>
    </w:p>
    <w:p>
      <w:r>
        <w:t>al. 2 LIPP complété par l’art. 8 RIPP, ces dispositions constituant une base légale suffisante s’agissant du principe quadriennal de l’indexation qu’elle retient. En outre, le Tribunal fédéral a également confirmé que la méthode de fixation de la valeur locative brute utilisée par l’AFC-GE pour l’ICC valait également en matière d’IFD, dans la mesure où cela n’aboutissait pas à une valeur en deçà du 70 % de la valeur du marché (et non de 60 % comme cela valait en matière d’impôt cantonal). 12) Même si les recourants prétendent prendre acte du contenu de l’arrêt du Tribunal fédéral précité, force est de constater qu’ils continuent à critiquer le recours par l’autorité fiscale à l’usage d’une indexation moyenne sur des prix qui, selon eux, n’auraient pas été fixés en valeur moyenne. Il n’y a plus lieu cependant d’entrer en matière sur cette critique, dès lors que le Tribunal fédéral a validé cette méthode qui implique le recours à une valeur locative de base déterminée en</w:t>
      </w:r>
    </w:p>
    <w:p>
      <w:r>
        <w:t>- 18/20 - A/2521/2014 fonction de la surface habitable et des données statistiques relatives au loyer libre mensuel moyen des logements par m2, époque de construction 1971-1980 avec une valeur au m2 dégressive plus le nombre de m2 augmente, puis à une valeur locative brute corrigée en fonction de certains coefficients, puis à une adaptation quadriennale par indexation. Les recourants tiennent pour inique que soit appliquée une indexation tirée d’une moyenne de l’évolution des prix au m2 non fixés en valeur moyenne. La chambre administrative ne voit pas en quoi l’application d’une telle moyenne à des données fiscales établies préalablement selon d’autres critères serait arbitraire, dans la mesure où ce facteur d’indexation est appliqué de manière uniforme à tous les contribuables concernés. 13) Les recourants soutiennent que le fait de déterminer le taux d’indexation sur l’évolution de la moyenne de l’ensemble des logements à loyers libres à l’époque de construction 1971-1980 est arbitraire, car cette indexation aurait dû se faire en fonction de la moyenne des indices mensuels genevois des prix à la consommation telle que prévue par l’art. 72 al. 4 LIPP. Toutefois, cette disposition transitoire concerne l’indexation des barèmes et non des déductions, dans le cadre desquelles s’inscrit l’indexation des valeurs locatives. En outre, si l’art. 72 al. 4 LIPP traite également de l’indexation des montants, c’est uniquement pour prévoir qu’elle soit mise en application pour la première fois en 2013, principe que la décision attaquée respecte. 14) Finalement, les recourants soutiennent que la détermination du taux d’indexation prévue par l’Information n° 5/2007 est arbitraire dans son résultat parce qu’elle conduirait, pour une même valeur locative de base, à une augmentation de la valeur locative de leur logement de plus de 30 % supérieure à celle des propriétaires d’un logement-appartement, époque de construction 1971-1980. Cette argumentation ne peut être suivie. L’art. 8 Cst. impose de traiter de manière égale tout administré, notamment contribuable, qui se trouve dans la même situation.</w:t>
      </w:r>
    </w:p>
    <w:p>
      <w:r>
        <w:t>En l’occurrence, la situation d’un contribuable, propriétaire d’un logement situé dans une villa qui lui appartient est différente de celle d’un contribuable, propriétaire d’un logement situé dans un appartement. Plus précisément, l’indexation d’une valeur locative brute fixée de manière différenciée selon le type de logement, en fonction de critères correctifs différents, peut conduire à une augmentation de valeur locative du type de celle appliquée dans le cas d’espèce. Elle peut être supérieure à celle appliquée aux propriétaires de logements situés dans un appartement. Ainsi que l’AFC-GE le rappelait, le but de l’imposition de la valeur locative est de prendre en compte une prestation en nature, qui doit être calculée en fonction de la valeur de location d’un logement sur le marché. Pour cette raison, des correctifs sont appliqués à la valeur locative de base fondée sur les m2. La valeur locative brute d’un logement situé dans une villa est plus élevée que celle d’un logement dans un appartement. Par nature, l’application du taux</w:t>
      </w:r>
    </w:p>
    <w:p>
      <w:r>
        <w:t>- 19/20 - A/2521/2014 d’indexation moyen à une valeur locative plus élevée conduira à une augmentation supérieure. 15) Entièrement mal fondé, le recours sera rejeté. Un émolument de CHF 1'500.- sera mis à la charge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