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ATA/119/2017 vom 8. Februar 2017</w:t>
      </w:r>
    </w:p>
    <w:p>
      <w:r>
        <w:t>GE Cour de justice, 2017-02-08, FR</w:t>
      </w:r>
    </w:p>
    <w:p>
      <w:r>
        <w:rPr>
          <w:b/>
        </w:rPr>
        <w:t xml:space="preserve">Quelle: </w:t>
      </w:r>
      <w:r>
        <w:t>https://mcp.opencaselaw.ch/entscheid/ge_gerichte_ATA_119_2017</w:t>
      </w:r>
    </w:p>
    <w:p>
      <w:r>
        <w:t>FR: GE_GERICHTE ATA/119/2017 du 8 février 2017</w:t>
      </w:r>
    </w:p>
    <w:p>
      <w:r>
        <w:t>IT: GE_GERICHTE ATA/119/2017 del 8 febbraio 2017</w:t>
      </w:r>
    </w:p>
    <w:p>
      <w:pPr>
        <w:pStyle w:val="Heading2"/>
      </w:pPr>
      <w:r>
        <w:t>Erwägungen</w:t>
      </w:r>
    </w:p>
    <w:p>
      <w:r>
        <w:rPr>
          <w:b/>
        </w:rPr>
        <w:t>E. 1</w:t>
      </w:r>
    </w:p>
    <w:p>
      <w:r>
        <w:t>Monsieur A______ a obtenu un diplôme de travailleur social en date du 24 juin 1988. Il n’est pas au bénéfice d’un brevet d’enseignement.</w:t>
      </w:r>
    </w:p>
    <w:p>
      <w:r>
        <w:t>Il a été engagé au service de santé de la jeunesse en qualité d’éducateur pour la santé et confirmé dans ses fonctions d’éducateur pour la santé – non licencié – par le Conseil d’État en date du 1er septembre 2003.</w:t>
      </w:r>
    </w:p>
    <w:p>
      <w:r>
        <w:t>Il a obtenu le certificat de formation continue s’agissant de guidance et d’éducation en matière de sexualité, vie affective et procréation en octobre 2009, selon ses allégations, en 2007 selon le département de l'instruction publique, de la culture et du sport (ci-après : le département). Il ressort de la pièce n° 1 produite par le département la mention « décerné en octobre 2007 ». Il a suivi un cours de sensibilisation à l’information scolaire et professionnelle dans le courant des années 1990 et 1991.</w:t>
      </w:r>
    </w:p>
    <w:p>
      <w:r>
        <w:t>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w:t>
      </w:r>
    </w:p>
    <w:p>
      <w:r>
        <w:t>Il a été confirmé dans la fonction de directeur dès le 11 août 2010, par courrier du 14 juin 2010.</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- 3/13 - A/4491/2016</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t>- 4/13 - A/4491/2016</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t>- 5/13 - A/4491/2016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- 6/13 - A/4491/2016</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w:t>
      </w:r>
    </w:p>
    <w:p>
      <w:r>
        <w:t>- 7/13 - A/4491/2016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t>- 8/13 - A/4491/2016</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