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ATA/1189/2017 vom 22. August 2017</w:t>
      </w:r>
    </w:p>
    <w:p>
      <w:r>
        <w:t>GE Cour de justice, 2017-08-22, FR</w:t>
      </w:r>
    </w:p>
    <w:p>
      <w:r>
        <w:rPr>
          <w:b/>
        </w:rPr>
        <w:t xml:space="preserve">Quelle: </w:t>
      </w:r>
      <w:r>
        <w:t>https://mcp.opencaselaw.ch/entscheid/ge_gerichte_ATA_1189_2017</w:t>
      </w:r>
    </w:p>
    <w:p>
      <w:r>
        <w:t>FR: GE_GERICHTE ATA/1189/2017 du 22 août 2017</w:t>
      </w:r>
    </w:p>
    <w:p>
      <w:r>
        <w:t>IT: GE_GERICHTE ATA/1189/2017 del 22 agosto 2017</w:t>
      </w:r>
    </w:p>
    <w:p>
      <w:pPr>
        <w:pStyle w:val="Heading2"/>
      </w:pPr>
      <w:r>
        <w:t>Regeste</w:t>
      </w:r>
    </w:p>
    <w:p>
      <w:r>
        <w:t>Résumé: Examen de la conformité au droit du licenciement d'une employée en période probatoire prononcé par les HUG, suite à l'annulation de l'ATA/407/2013par arrêt du Tribunal fédéral2C_577/2014. La résiliation des rapports de service repose sur des motifs permettant de retenir que le recrutement de la recourante ne répondait pas véritablement aux besoins du service. Absence de violation du principe de la bonne foi. Recours rejeté.</w:t>
      </w:r>
    </w:p>
    <w:p>
      <w:pPr>
        <w:pStyle w:val="Heading2"/>
      </w:pPr>
      <w:r>
        <w:t>Erwägungen</w:t>
      </w:r>
    </w:p>
    <w:p>
      <w:r>
        <w:rPr>
          <w:b/>
        </w:rPr>
        <w:t>E. 19</w:t>
      </w:r>
    </w:p>
    <w:p>
      <w:r>
        <w:t>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chacune des parties a pu formuler de nombreuses observations circonstanciées sur chacun des points litigieux et a versé à la procédure les pièces appuyant sa position. Le dossier comprend par ailleurs les conclusions du rapport d’audit, ainsi que les diapositives de la présentation de ce rapport qui ne concernent pas des tierces personnes, les éléments concernant la recourante figurant sur des diapositives non versées à la procédure ayant par ailleurs été résumés par le juge délégué. La chambre administrative dispose ainsi d’un dossier complet lui permettant de trancher les griefs soulevés en toute connaissance de cause.</w:t>
      </w:r>
    </w:p>
    <w:p>
      <w:r>
        <w:t>Il ne sera par conséquent pas donné suite à la requête de la recourante. 3)</w:t>
      </w:r>
    </w:p>
    <w:p>
      <w:r>
        <w:t>Comme constaté par le Tribunal fédéral dans son arrêt 8C_577/2014 précité, la recourante ne conteste plus son statut d’employée (consid. 2.1). Il convient dès lors d’examiner si son licenciement est conforme aux règles applicables à la résiliation des rapports de service avec un employé. 4)</w:t>
      </w:r>
    </w:p>
    <w:p>
      <w:r>
        <w:t>En tant que membre du personnel des HUG, la recourante est soumise à la loi générale relative au personnel de l’administration cantonale, du pouvoir judiciaire et des établissements publics médicaux du 4 décembre 1997 (LPAC - B 5 05), à son règlement d’application du 24 février 1999 (RPAC - B 5 05.01), à la loi sur les établissements publics médicaux du 19 septembre 1980 (LEPM - K 2 05), au statut du personnel des HUG du 16 décembre 1999 (ci-après : le statut ; art. 1 al. 1 let. e LPAC et 7 al. 2 let. k LEPM), ainsi qu’à la loi concernant le traitement et les diverses prestations alloués aux membres du personnel de l’État, du pouvoir judiciaire et des établissements hospitaliers du 21 décembre 1973 (LTrait - B 5 15).</w:t>
      </w:r>
    </w:p>
    <w:p>
      <w:r>
        <w:t>- 11/16 - A/4078/2013 5) a. Pendant la période probatoire, chacune des parties peut mettre fin aux rapports de service (art. 21 al. 1 LPAC), moyennant le respect des délais de résiliation. Après le temps d’essai et pendant la première année d’activité, le délai de résiliation est d’un mois pour la fin d’un mois (art. 20 al. 1 LPAC). Lorsque les rapports de service ont duré plus d’une année, le délai de résiliation est de trois mois pour la fin d’un mois (art. 20 al. 2 LPAC).</w:t>
      </w:r>
    </w:p>
    <w:p>
      <w:r>
        <w:t>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dès la sixième année de service (art. 44a RPAC et, par analogie, 336c al. 1 let. b de la loi fédérale complétant le code civil suisse [livre cinquième : droit des obligation] du 30 mars 1911 - code des obligations - CO - RS 220).</w:t>
      </w:r>
    </w:p>
    <w:p>
      <w:r>
        <w:t>b. La loi ne prévoit pas d'autres conditions pour le licenciement d'employés. En particulier, contrairement aux fonctionnaires, elle ne requiert pas l’existence d'un motif fondé (art. 21 al. 1 LPAC ; art. 21 al. 3 et 22 a contrario LPAC), ni le respect du principe de reclassement (art. 21 al. 3 in fine LPAC et 46A RPAC ; ATA/590/2016 du 12 juillet 2016 consid. 4b et les références citées).</w:t>
      </w:r>
    </w:p>
    <w:p>
      <w:r>
        <w:t>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(ATA/590/2016 précité consid. 4b ; ATA/156/2016 du 23 février 2016 consid. 4c et les références citées; MGC 1996/VI A p. 6360-6361).</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w:t>
      </w:r>
    </w:p>
    <w:p>
      <w:r>
        <w:t>- 12/16 - A/4078/2013 Tribunal fédéral 8C_774/2011 du 28 novembre 2012 consid. 2.4 ; 1C_341/2007 du 6 février 2008 consid. 2.2 ; ATA/259/2014 du 15 avril 2014 consid. 7c).</w:t>
      </w:r>
    </w:p>
    <w:p>
      <w:r>
        <w:t>c.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(ATA/590/2016 précité consid. 4b et les références citées).</w:t>
      </w:r>
    </w:p>
    <w:p>
      <w:r>
        <w:t>d.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6)</w:t>
      </w:r>
    </w:p>
    <w:p>
      <w:r>
        <w:t>En l’espèce, il n’est pas contesté que les délais de congé ont été respectés, y compris le délai de protection contre le licenciement découlant de l’incapacité de travail pour cause de maladie. La recourante affirme cependant que son licenciement serait arbitraire et violerait le principe de la proportionnalité.</w:t>
      </w:r>
    </w:p>
    <w:p>
      <w:r>
        <w:t>Il ressort toutefois du dossier que si sur le plan technique, la recourante donnait satisfaction dans son poste de responsable du groupe rémunération et assurances sociales, tel n’était pas le cas s’agissant en particulier de l’organisation du travail et des compétences managériales. Certes, la première évaluation, du 7 décembre 2012, était positive. Elle mentionnait toutefois déjà, concernant la qualité des prestations et l’organisation du travail, que les critères devraient être réévalués une fois que l’intéressée assumerait la totalité de son cahier des charges, et, en relation avec la capacité d’encadrement, qu’elle était trop en retrait, même si ce point devait être considéré avec précaution, vu la situation conflictuelle au sein du service. Or, après cette évaluation, comme il ressort du dossier et de l’audition de la cheffe de service, des insuffisances de prestations ont été constatées, portant précisément sur les points devant faire l’objet d’une réévaluation, menant à la convocation du second EEDC puis de l’entretien de service.</w:t>
      </w:r>
    </w:p>
    <w:p>
      <w:r>
        <w:t>- 13/16 - A/4078/2013</w:t>
      </w:r>
    </w:p>
    <w:p>
      <w:r>
        <w:t>Toutefois, la recourante conteste toute insuffisance de prestations et semble impliquer que l’évaluation négative serait due au caractère lunatique et réactif de sa cheffe, dont les compétences nécessitaient un coaching, et constituerait une mesure de rétorsion en raison de critiques qu’elle aurait faites dans le cadre de l’audit et qui auraient indisposés cette dernière. Cependant, rien de tel ne ressort du rapport d’audit, dont les conclusions établissent uniquement, s’agissant de la recourante, que lors du processus d’audit, nombre de collaborateurs ne pouvaient pas encore se prononcer sur la collaboration avec cette dernière, arrivée trop récemment pour leur permettre de se former une opinion, ce qui est d’ailleurs cohérent avec les remarques figurant dans l’EEDC fait à la même période. L’audit, qui n’avait au demeurant pas pour objet l’évaluation des prestations de la recourante et a été mené à un moment où les insuffisances n’avaient pas encore été constatées, n’est dès lors pas pertinent pour déterminer l’existence ou non desdites insuffisances.</w:t>
      </w:r>
    </w:p>
    <w:p>
      <w:r>
        <w:t>Or, il ressort du dossier que les constatations d’insuffisance des prestations, survenues après la première évaluation et discutées pour la première fois au plus tard le 28 février 2013 – soit alors que la cheffe du service était bien présente et non en arrêt pour cause de maladie –, puis exposées de manière détaillée lors du second l’EEDC puis de l’entretien de service, font suite à des plaintes de gestionnaires, comme confirmé par Mme B______ lors de son audition, ainsi qu’à une interpellation du service de comptabilité. Ces insuffisances ont en outre été illustrées par des exemples concrets lors de ces deux entretiens. La recourante a d’ailleurs admis certains éléments. Ainsi, elle a par exemple reconnu ne pas avoir pris en charge deux fiches d’indemnité de piquet en février 2013, mais uniquement en mars 2013 – alors qu’elle avait contesté avoir commis une faute à cet égard dans ses observations du 21 mars 2013 –, avoir remplacé un gestionnaire en avisant le service à midi uniquement ou encore n’avoir pas réagi lorsqu’elle n’avait pas retrouvé deux collaborateurs dans le système informatique, ayant alors indiqué à la comptabilité que ces deux personnes ne faisaient pas partie du personnel.</w:t>
      </w:r>
    </w:p>
    <w:p>
      <w:r>
        <w:t>Au vu de ce qui précède, les reproches formulés par l’autorité intimée n’apparaissent pas manifestement dénués de tout fondement et constituent des motifs qui permettaient à l’autorité intimée, au vu de son large pouvoir d’appréciation, de retenir que le recrutement de la recourante ne répondait pas véritablement aux besoins du service et que mettre un terme aux rapports de service constituait le seul moyen adéquat.</w:t>
      </w:r>
    </w:p>
    <w:p>
      <w:r>
        <w:t>Les griefs de violation de l’interdiction de l’arbitraire et de violation du principe de la proportionnalité seront par conséquent écartés. 7)</w:t>
      </w:r>
    </w:p>
    <w:p>
      <w:r>
        <w:t>La recourante invoque également une violation du principe de la bonne foi.</w:t>
      </w:r>
    </w:p>
    <w:p>
      <w:r>
        <w:t>- 14/16 - A/4078/2013</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ATA/17/2017 du 10 janvier 2017 consid. 9 et les références citées).</w:t>
      </w:r>
    </w:p>
    <w:p>
      <w:r>
        <w:t>d. En l’espèce, la recourante affirme que vu les délais fixés dans l’EEDC du 7 décembre 2012, l’autorité intimée ne pouvait pas la licencier. Toutefois, la recourante était en période probatoire et l’autorité intimée ne lui a jamais donné d’assurances quant à la poursuite des rapports de service jusqu’à l’échéance des</w:t>
      </w:r>
    </w:p>
    <w:p>
      <w:r>
        <w:t>- 15/16 - A/4078/2013 délais d’atteinte des objectifs fixés. Au demeurant, il revenait à l’autorité intimée, devant s’assurer du bon fonctionnement du service, de ne pas attendre l’échéance à fin décembre 2013 fixée pour réagir, au vu de la péjoration de la situation constatée.</w:t>
      </w:r>
    </w:p>
    <w:p>
      <w:r>
        <w:t>Au vu de ce qui précède, aucune promesse n’a été faite concernant la continuation des rapports de service et la recourante ne peut se prévaloir du principe de la bonne foi pour remettre en cause son licenciement. 8)</w:t>
      </w:r>
    </w:p>
    <w:p>
      <w:r>
        <w:t>Dans ces circonstances, la décision de l’autorité intimée est conforme au droit et le recours, entièrement mal fondé, sera rejeté. 9)</w:t>
      </w:r>
    </w:p>
    <w:p>
      <w:r>
        <w:t>Vu l’issue du litige, un émolument de CHF 1'500.- sera mis à charge de la recourante (art. 87 al. 1 LPA). Aucune indemnité ne sera allouée, l’autorité intimée disposant d’un service juridique (art. 87 al. 2 LPA ; ATA/1043/2016 du 13 décembre 2016 consid. 3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