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ATA/1187/2023 vom 1. November 2023</w:t>
      </w:r>
    </w:p>
    <w:p>
      <w:r>
        <w:t>GE Cour de justice, 2023-11-01, FR</w:t>
      </w:r>
    </w:p>
    <w:p>
      <w:r>
        <w:rPr>
          <w:b/>
        </w:rPr>
        <w:t xml:space="preserve">Quelle: </w:t>
      </w:r>
      <w:r>
        <w:t>https://mcp.opencaselaw.ch/entscheid/ge_gerichte_ATA_1187_2023</w:t>
      </w:r>
    </w:p>
    <w:p>
      <w:r>
        <w:t>FR: GE_GERICHTE ATA/1187/2023 du 1 novembre 2023</w:t>
      </w:r>
    </w:p>
    <w:p>
      <w:r>
        <w:t>IT: GE_GERICHTE ATA/1187/2023 del 1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reproche au TAPI de ne pas avoir retenu que les conditions d'un cas de rigueur étaient réalisées, en particulier la nécessité de séjourner en Suisse pour poursuivre son traitement médical.</w:t>
      </w:r>
    </w:p>
    <w:p>
      <w:r>
        <w:t>2.1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t>2.2.1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w:t>
      </w:r>
    </w:p>
    <w:p>
      <w:r>
        <w:t>- 9/18 - A/2005/2022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2.2.2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w:t>
      </w:r>
    </w:p>
    <w:p>
      <w:r>
        <w:t>- 10/18 - A/2005/2022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(F-646/2015 du 20 décembre 2016 consid. 5.3).</w:t>
      </w:r>
    </w:p>
    <w:p>
      <w:r>
        <w:t>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2C_797/2022 du 22 mars 2023 consid. 3.3.3 ; 2C_145/2022 précité consid. 6.3 ; 2C_935/2021 précité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w:t>
      </w:r>
    </w:p>
    <w:p>
      <w:r>
        <w:t>- 11/18 - A/2005/2022</w:t>
      </w:r>
    </w:p>
    <w:p>
      <w:r>
        <w:t>2.2.3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t>2.2.4 Aux termes de l'art. 96 al. 1 LEI, les autorités compétentes tiennent compte, en exerçant leur pouvoir d'appréciation, des intérêts publics, de la situation personnelle de l'étranger ainsi que de son intégration.</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2.2.5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t>2.3 En l'espèce, la recourante dit être entrée en Suisse au mois d'août 2019, soit moins d'un an avant le dépôt de sa demande d'autorisation de séjour (avril 2020). Elle y a séjourné dans un premier temps de manière illégale, puis en vertu de la tolérance des autorités cantonales, dans le cadre de la présente procédure, de sorte</w:t>
      </w:r>
    </w:p>
    <w:p>
      <w:r>
        <w:t>- 12/18 - A/2005/2022 que la durée de son séjour ne peut en principe pas être déterminante dans l'examen du cas individuel d'extrême gravité.</w:t>
      </w:r>
    </w:p>
    <w:p>
      <w:r>
        <w:t>Par ailleurs, si ses efforts en vue d'acquérir une indépendance financière sont louables, et que la recourante travaille depuis plus d'une année, elle a toutefois émargé à l'aide sociale durant presque deux ans (avril 2020 à février 2022). Si la recourante n'a pas de dettes et n'a pas commis d'infraction, un tel comportement peut être attendu de tout étranger désirant séjourner en Suisse. La recourante ne peut toutefois pas se prévaloir d'une intégration socioprofessionnelle exceptionnelle au sens de la jurisprudence susmentionnée. En effet, si elle parle couramment le français, elle n'a cependant pas de famille en Suisse. En outre, la recourante, qui exerce comme coiffeuse, ne peut pas se prévaloir de compétences professionnelles spécifiques à la Suisse ou d'une ascension professionnelle remarquable, susceptible de justifier une exception aux règles restreignant le séjour des étrangers en Suisse. Elle a d'ailleurs suivi sa formation de coiffeuse dans son pays d'origine.</w:t>
      </w:r>
    </w:p>
    <w:p>
      <w:r>
        <w:t>Elle n'a pas fait état d'investissements dans la vie sportive, culturelle ou associative genevoise. Il ne peut dès lors être retenu qu'elle ait fait preuve d'une intégration sociale exceptionnelle en comparaison avec d'autres étrangers qui travaillent en Suisse depuis plusieurs années. Finalement, elle a vécu durant plus de 42 ans en Côte d'Ivoire, où elle a passé son enfance, son adolescence et une partie de sa vie d'adulte. Il ressort du dossier qu'elle y a vécu tant dans son village natal qu'à Abidjan, la capitale économique du pays. Elle y a conservé des attaches, sa soeur se trouvant encore en Côte d'Ivoire. Elle n'a pas de famille en Suisse.</w:t>
      </w:r>
    </w:p>
    <w:p>
      <w:r>
        <w:t>Au vu de ce qui précède, la recourante ne peut pas se prévaloir de liens d'une certaine intensité avec la Suisse, de sorte que ses affections médicales – tant son VIH que son état dépressif – doivent être examinées sous l'angle de l'exécutabilité de son renvoi.</w:t>
      </w:r>
    </w:p>
    <w:p>
      <w:r>
        <w:t>Au surplus, la stigmatisation invoquée par la recourante en raison de sa séropositivité, laquelle provoquerait sa mise à l'écart de la société ivoirienne, ne peut être déterminante dans l'appréciation du cas individuel d'extrême gravité. Il s'agit en effet là de circonstances générales affectant l'ensemble des personnes souffrant du VIH ou d'une affection psychique restées sur place et liées à la situation sociale en Côte d'Ivoire, lesquelles ne peuvent dès lors être prises en considération dans le cadre de l'examen pour cas individuel d'extrême gravité. Il en va de même des risques que peuvent encourir les personnes atteintes par le VIH si elles devaient également souffrir de la nouvelle vague de Covid-19.</w:t>
      </w:r>
    </w:p>
    <w:p>
      <w:r>
        <w:t>Par conséquent, au vu de l'ensemble des éléments qui précèdent, c'est à bon droit que tant l'OCPM que le TAPI ont retenu que la recourante ne remplissait pas les</w:t>
      </w:r>
    </w:p>
    <w:p>
      <w:r>
        <w:t>- 13/18 - A/2005/2022 conditions restrictives permettant d'octroi d'une autorisation de séjour pour cas de rigueur.</w:t>
      </w:r>
    </w:p>
    <w:p>
      <w:r>
        <w:t>Le recours sera dès lors rejeté. 3. Enfin, la recourante soutient que son renvoi serait illicite ou inexigible.</w:t>
      </w:r>
    </w:p>
    <w:p>
      <w:r>
        <w:t>3.1 Selon l'art. 64 al. 1 let. c LEI, toute personne étrangère dont l'autorisation est refusée, révoquée ou qui n'est pas prolongée après un séjour autorisé est renvoyée. La décision de renvoi est assortie d'un délai de départ raisonnable (art. 64 let. d al. 1 LEI).</w:t>
      </w:r>
    </w:p>
    <w:p>
      <w:r>
        <w:t>3.2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Les autorités cantonales peuvent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t>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w:t>
      </w:r>
    </w:p>
    <w:p>
      <w:r>
        <w:t>- 14/18 - A/2005/2022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w:t>
      </w:r>
    </w:p>
    <w:p>
      <w:r>
        <w:t>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Selon la jurisprudence du Tribunal fédéral administratif (arrêts E-2159/2015 du 16 juin 2015 consid. 5.3.2 et F-6988/2016 du 4 août 2017 consid. 4.3.5),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aux stades B3, ou même B2, peut rendre l'exécution du renvoi inexigible, alors qu'une atteinte au stade C ne permet pas encore de considérer cette exécution comme absolument inexigible (ATAF 2009/2 consid. 9.3.4 et la jurisprudence citée).</w:t>
      </w:r>
    </w:p>
    <w:p>
      <w:r>
        <w:t>Le Tribunal fédéral a déjà eu l'occasion de se prononcer sur le travail effectué par la Côte d'Ivoire, depuis plusieurs années, afin de lutter contre le virus du VIH (arrêt F-6988/2016 du 4 août 2017 consid. 4.3.7). Dans un arrêt rendu en 2019, il a confirmé que les habitants de ce pays ont accès à la médication nécessaire à l'état de santé en lien avec le VIH, étant entendu qu'un tel traitement est disponible gratuitement dans les hôpitaux du pays, soulignant que la Côte d'Ivoire avait accompli d'importants progrès dans la lutte contre le VIH (TAF E-</w:t>
      </w:r>
    </w:p>
    <w:p>
      <w:r>
        <w:t>- 15/18 - A/2005/2022 2276/2017 du 27 mars 2019).</w:t>
      </w:r>
    </w:p>
    <w:p>
      <w:r>
        <w:t>À plusieurs reprises, le TAF a considéré que le recourant pouvait se constituer une réserve de médicaments avant son départ de Suisse (arrêts du Tribunal administratif fédéral E-5092/2018 du 15 novembre 2018, voire aussi D-7524/2015 du 22 novembre 2017 et E-3165/2015 du 11 mai 2016).</w:t>
      </w:r>
    </w:p>
    <w:p>
      <w:r>
        <w:t>3.3 Dans le présent cas, il est indéniable que la recourante est atteinte dans sa santé, du fait qu'elle est atteinte par le VIH. Cela étant, et comme l'a retenu à bon droit le TAPI, il résulte du dernier certificat médical produit que la charge virale est indétectable (ce qui signifie que le traitement est efficace). La recourante n'a pas versé à la procédure de certificat médical récent.</w:t>
      </w:r>
    </w:p>
    <w:p>
      <w:r>
        <w:t>Il n'apparaît donc pas que son état de santé soit d'une gravité telle qu'elle nécessite un traitement particulièrement lourd ou pointu qui ne pourrait pas être poursuivi en Côte d'Ivoire ou qui puisse entrainer une mise en danger concrète en cas de retour dans ce pays. Au vu des infrastructures dont dispose la Côte d'Ivoire en terme de lutte contre le VIH et d'accès à un traitement antirétroviral, l'intéressée pourra avoir accès à la médication nécessaire à son état de santé, étant entendu qu'un tel traitement est disponible gratuitement dans les hôpitaux du pays – même dans les zones rurales très éloignées de la capitale, bien que plus difficilement – ce qui a été confirmé à deux reprises par le médecin conseil de l'ambassade suisse en Côte d'Ivoire. La recourante pourra également se procurer du Norcet (antidépresseur), lequel est disponible en pharmacie. Rien n'empêche, le cas échéant, la recourante de se constituer une réserve de médicaments avant son départ de Suisse.</w:t>
      </w:r>
    </w:p>
    <w:p>
      <w:r>
        <w:t>Au vu de ce qui précède, l'exécution du renvoi de la recourante est possible, licite et peut être raisonnablement exigée.</w:t>
      </w:r>
    </w:p>
    <w:p>
      <w:r>
        <w:t>Mal fondé, le recours sera également rejeté sur ce point. 4. 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